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abril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1031-2023, promovido por doña Esther Esparcia García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febrero de 2023 la procuradora de los tribunales doña Inmaculada Concepción Pérez Vallés, en nombre y representación de doña Esther Esparcia García y bajo la dirección del letrado don José Vicente Tomás García, interpuso demanda de amparo contra la providencia de 20 de diciembre de 2022 dictada por el Tribunal Supremo en el recurso de casación núm. 3476-2022.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21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1031-2023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