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19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8235-2021, promovido por doña M.L.G.R., contra el auto de la Sección Segunda de la Audiencia Provincial de Cantabria núm. 211/2021, de 3 de noviembre, por el que se desestima el recurso de apelación núm. 691-2021, interpuesto contra el auto del Juzgado de Primera Instancia núm. 2 de Medio Cudeyo núm. 140/2021, de 9 de junio, pronunciado en el procedimiento de jurisdicción voluntaria núm. 279-2021.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M.L.G.R., representada por el procurador de los tribunales don Roberto Granizo Palomeque, bajo la asistencia de la letrada doña Cristina Armas Suárez, interpuso recurso de amparo contra las resoluciones que se mencionan en el encabezamiento de esta sentencia mediante escrito registrado en este tribunal el 27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por escrito de 23 de abril de 2021, promovió expediente de medida cautelar para que se procediera a la autorización judicial de la vacunación contra el Covid-19 a doña T.R.S., diagnosticada de un deterioro cognitivo moderado de origen neurodegenerativo, con incapacidad para la toma de decisiones, dando lugar al procedimiento de jurisdicción voluntaria núm. 279-2021 tramitado por el Juzgado de Primera Instancia núm. 2 de Medio Cudeyo. En dicho procedimiento se dio trámite de audiencia a los hijos de la interesada, se recabó la información sanitaria necesaria y se emitieron los informes médico-forenses acordados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núm. 140/2021, de 9 de junio, con cita de la normativa aplicable y específicamente del art. 9 de la Ley 41/2002, de 14 de noviembre, básica reguladora de la autonomía del paciente y de derechos y obligaciones en materia de información y documentación clínica, se acordó autorizar la vacunación en una primera y segunda dosis. En la resolución se expone que procede la intervención judicial al constar la negativa a la vacunación por parte de dos de los cuatro hijos de la interesada, debiendo darse una solución de forma predominante desde la óptica de la protección de su salud. A esos efectos, se expone que de los informes médicos se desprende que no presenta ningún motivo clínico que justifique no vacunar a la paciente, por lo que “el riesgo para su salud sería mayor, con la eventual posibilidad de contagiarse, que la circunstancia de una posible reacción adversa derivada de un efecto secundario de la referida vacuna”. Igualmente, se destaca que las causas de oposición mostradas por dos de sus cuatro hijos, a pesar de ser legítimas, deben decaer “frente al carácter seguro de la vacuna Covid-19, que cuenta con la aprobación de la Agencia Europea del Medicamento, siendo en todo caso mayor y más grave el riesgo de contraer la infección por coronavirus, que la de padecer algún efecto secundario grave”. Se incide en que la vacuna presenta seguridad, según la Organización Mundial de la Salud (OMS), en base a un proceso de pruebas y ensayos reglados a los que son sometidas las vacunas antes de la aprobación de su uso en la población y que el riesgo para la salud de la interesada se incrementa a medida que la administración de la vacuna se demora y el número de contagios aumenta, máxime tratándose de una persona de edad avanzada en la que pueden ser mortales las consecuencias de un futuro contagio. Se concluye que en el caso de la interesada la vacunación es una medida médico-sanitaria necesaria y adecuada para proteger su salud al no constar, además, contraindicación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ahora demandante de amparo interpuso recurso de apelación que fue tramitado con el núm. 691-2021 por la Sección Segunda de la Audiencia Provincial de Cantabria. En el recurso, con invocación de los derechos a la igualdad (art. 14 CE) y a la integridad física (art. 15 CE), se alega que la vacuna que se pretende inocular es un medicamento de terapia génica en fase experimental sin aprobación, ya que lo que existe es una autorización condicional de comercialización, que produce una alteración de la fisiología celular, cuya aplicación tiene carácter voluntario y se pretende poner de manera forzosa a una persona sana, que no tiene capacidad para prestar su consentimiento. Además, la OMS ha reconocido que la inmunidad se mantiene durante varios meses, pero no se conoce la duración concreta, habiéndose notificado la existencia de riesgos y efectos adversos. También se incide en que la situación epidemiológica en Cantabria a fecha 30 de junio de 2021 no justifica la administración de la vacuna, que su madre sobrevivió a la primera ola de la pandemia y que no ha existido el consentimiento informado exigido por la ley mediante entrega a los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núm. 211/2021, de 3 de noviembre, con fundamento en que todas las vacunas administradas han sido evaluadas por la Agencia Europea de Medicamentos y la Agencia Española de Medicamentos y Productos Sanitarios, que las han autorizado tras verificar el cumplimiento de todos los requisitos de calidad y eficacia del producto, contrastados además en las distintas fases del ensayo clínico, estableciendo su seguridad y que los beneficios de su utilización superan a los riesgos, ya que se ha constatado una reducción drástica de la mortalidad e ingresos hospitalarios cuando existe un 88,6 por 100 de la población diana con pauta de vacunación completa. También se destaca que la avanzada edad de la interesada determina que sea una persona especialmente vulnerable a la enfermedad y que no presenta ninguna patología que desaconseje la administración de una vacuna que en el grupo de personas de más de ochenta años ha supuesto una importante reducción de la mortalidad que compensa con creces los riesgos.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solicita que se le otorgue el amparo por vulneración de su derecho a la tutela judicial efectiva (art. 24.1 CE) por falta de motivación de las resoluciones impugnadas, en relación con el derecho a la igualdad ante la ley y no discriminación (art. l4 CE), el derecho a la integridad física y moral (art. 15 CE) y el derecho a la intimidad (art. 18 CE), para cuyo restablecimiento considera necesario la declaración de nulidad de las resoluciones impugnadas y de que no ha lugar a la inoculación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contar con la necesaria legitimación, ya que “ha sido parte en el procedimiento en que se ha dictado la resolución a la que se refiere este recurso, siendo hija y guardadora de hecho de la titular de los derechos fundamentales vulnerados y por tanto, estando en posesión de un interés legítimo susceptible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en una exposición similar a la desarrollada en el recurso de amparo núm. 3214-2022, ampliamente descrita en el antecedente tercero de la STC 38/2023, de 20 de abril, alega, en síntesis, que las resoluciones recurridas han autorizado sin la expedición de la preceptiva receta médica y sin consentimiento informado veraz la inoculación de un medicamento de terapia génica en fase experimental a pesar de que su administración tiene carácter voluntario para el resto de la población y no concurren los requisitos exigidos por la jurisprudencia constitucional para su administración forzosa; y no han aportado evidencia científica alguna acreditativa de que el beneficio de la administración sea superior a los riesgos o, en su caso, que existe un beneficio directo para la interesada ni que se esté cumpliendo la finalidad inmunizadora, a pesar de que por el rango del derecho fundamental concernido era precisa una motivación reforzada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expone que el recurso tiene especial transcendencia constitucional por el carácter novedoso de la cuestión planteada y por suscitar una cuestión jurídica de relevante y general repercusión social, destacando que no existe jurisprudencia constitucional sobre la afectación que para los derechos invocados tiene la administración forzosa de un medicamente a personas con discapacidad en situación pandémica. Finalmente, se interesa la suspensión cautelar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por providencia de 24 de octubre de 2022, acordó admitir a trámite el recurso de amparo apreciando que concurre una especial trascendencia constitucional [art. 50.1 de la Ley Orgánica del Tribunal Constitucional (LOTC)] porque el recurso plantea un problema o afecta a una faceta de un derecho fundamental sobre el que no hay doctrina de este tribunal [STC 155/2009, FJ 2 a)], y el asunto suscitado trasciende del caso concreto porque plantea una cuestión jurídica de relevante y general repercusión social o económica [STC 155/2009, FJ 2 g)]; dirigir atenta comunicación a los órganos judiciales para la remisión de testimonio de las actuaciones y el emplazamiento de quienes hubieran sido parte en el procedimiento para que puedan comparecer en el recurso de amparo; y formar la oportuna pieza para la tramitación del incidente sobre suspensión, que fue completamente tramitada y está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12 de diciembre de 2022, acordó dar vista de las actuaciones a las partes personadas y al Ministerio Fiscal, por plazo común de veinte días, a fin de que, conforme con lo previsto en el art. 52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26 de enero de 2023, presentó sus alegaciones interesando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argumenta que el recurso está incurso en la causa de inadmisión de falta de legitimación de la demandante de amparo, ya que, “en este proceso constitucional, la recurrente está ejercitando una pretensión propia, no una pretensión de la representada, pues, en definitiva, está haciendo valer su convicción y planteamiento personal sobre los efectos adversos que, afirma rotundamente, se derivan de la inoculación de lo que dice que se denomina ‘vacuna’, pero que en realidad es un medicamento génico en fase experimental”.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respecto de la invocación del derecho a la tutela judicial efectiva, en relación con el derecho a la integridad física y moral y tras hacer una extensa exposición sobre la normativa y la jurisprudencia constitucional y del Tribunal Europeo de Derechos Humanos en materia de derechos de los discapacitados, la vacunación y el consentimiento informado, concluye que las resoluciones impugnadas cumplieron con el canon de motivación reforzada exigible en estos casos. A esos efectos, destaca que “confrontando las manifestaciones de la recurrente con la información suministrada por los organismos oficiales (aprobación y recomendación de la vacunación, su seguridad y eficacia, el continuo seguimiento de los efectos adversos de la inoculación, el elevado índice de mortalidad e ingresos de las personas en la franja de edad de doña T.R.S. y la reducción tras la campaña de vacunación llevada a cabo), así como las características personales e individuales de aquella (mayor vulnerabilidad por su edad para contagiarse —aunque no está en una residencia, es atendida en su casa por personas que entran y salen y están en contacto con el entorno social— y la inexistencia de contraindicaciones médicas, por las patologías que padece, para ser vacunada), han realizado, estimamos, en sus razonamientos una fundada ponderación probatoria de los argumentos adversos y los beneficios de la inoculación de la vacuna a la interesada, respondiendo a la ratio decidendi que la autorización de la administración de la vacuna es el mayor beneficio para la salud de doña T.R.S.”.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relación con el art. 14 CE, argumenta que la demanda carece de una fundamentación jurídica y fáctica suficiente y que, en cualquier caso, no resulta adecuada la comparación genérica que se hace respecto de que para el resto de la población la administración de la vacuna es voluntaria, ya que “la singularidad que concurre en el supuesto concreto es que aquella padece un deterioro cognitivo que le impide manifestar su voluntad sobre si quiere o no vacunarse, y dada la posibilidad de que la opinión de oposición de su guardadora a que se le imponga la vacuna pudiera no ser beneficiosa para la salud, ha intervenido la autoridad judicial para resolver la cuestión, realizando un fundado juicio de ponderación de los riesgos/beneficios de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respecto de la invocación del derecho a la intimidad (art. 18 CE), argumenta que no tiene un desarrollo específico en la demanda y que “resulta evidente que una intervención corporal consistente en la administración por inyección de una vacuna en la que la parte externa del cuerpo afectada es un brazo, no entra dentro del ámbito constitucionalmente protegido del derecho a la intimidad corporal, ni, por lo tanto, puede llegar a vulnerarlo”.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presentó sus alegaciones el 10 de enero de 2023 remitiéndose a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junio 2023,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de la STC 38/2023,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de amparo es determinar si vulnera el derecho a la tutela judicial efectiva (art. 24.1 CE), en relación con los derechos a la igualdad (art. 14 CE), a la integridad física y moral (art. 15 CE) y a la intimidad (art. 18 CE), la decisión judicial de autorizar la vacunación contra el Covid-19 de doña T.R.S., diagnosticada de un deterioro cognitivo moderado de origen neurodegenerativo, con incapacidad para la toma de decisiones, ante la oposición de la ahora demandante de amparo, que es su hija y guardadora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al amparo de lo establecido en el art. 86.3 LOTC y el art. 1 del acuerdo del Pleno de 23 de julio de 2015, por el que se regula la exclusión de los datos de identidad personal en la publicación de las resoluciones jurisdiccionales (“Boletín Oficial del Estado” núm. 178, de 27 de julio de 2015), en atención a que el objeto de controversia en este proceso constitucional versa sobre una persona que requiere un especial deber de tutela por su discapacidad, acuerda que en la presente resolución se identifique solo por sus iniciales a los intervinientes con la finalidad de preservar de modo efectivo el anonimato de dicha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rechaza la concurrencia de la causa de inadmisión alegada por el Ministerio Fiscal de falta de legitimación activa de la demandante de amparo. Se constata que la demandante ha intervenido como parte en la vía judicial previa, sin que se haya objetado su legitimación para impugnar en apelación el auto de instancia, y de que tiene la condición de hija y guardadora de hecho de la persona titular de los derechos fundamentales invocados, aquejada de enfermedad que la incapacita para la toma de decisiones. Estas circunstancias resultan suficiente conforme a la jurisprudencia constitucional establecida sobre los arts. 162.1 b) CE y 46.1 b) LOTC, que, como se indicó en la STC 38/2023, de 20 de abril, FJ 2, ha reconocido la legitimación del tutor legal de su madre y la legitimación del padre del titular de un derecho fundamental, con independencia de que dicho progenitor estuviera o no en el ejercicio de la patria potestad, cuando el hijo se hallaba aquejado de una discapacidad (STC 174/2002, de 9 de octubre, FJ 4), o la de los guardadores de hecho de una persona menor de edad que se encuentra a su cargo (STC 221/2002, de 25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es la misma que ya ha sido objeto de análisis por el Pleno de este tribunal en la STC 38/2023, de 20 de abril, FJ 3, a cuya fundamentación jurídica es preciso remitirse para rechazar (i) la invocación del art. 14 CE, ya que falta un mínimo desarrollo argumental y no se ha aportado un término de comparación válido por no existir en el ordenamiento jurídico español, como alega la demandante, un doble régimen de vacunación, voluntaria para las personas que están en pleno ejercicio de su capacidad jurídica y obligatoria para las que necesitan alguna medida de apoyo por razón de su discapacidad; y (ii) la invocación del art. 18.1 CE, pues ni de la finalidad de las resoluciones impugnadas ni de la zona del cuerpo sobre la que se materializa la injerencia se deriva afectación alguna del derecho fundamental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invocación del art. 15 CE, también en la citada STC 38/2023, FFJJ 4 a 6, se expusieron de manera pormenorizada las pautas de ponderación necesarias para determinar si ha resultado vulnerado en este tipo de supuestos el derecho a la integridad personal; destacando que (i) cuenta con la habilitación legal que ofrece el art. 9.6 de la Ley 41/2002, de 14 de noviembre, básica reguladora de la autonomía del paciente y de derechos y obligaciones en materia de información y documentación clínica, en cuanto precepto que tiene una estricta finalidad tuitiva de los intereses del paciente en un contexto de peligro para su salud y en una situación en la que la persona afectada no puede decidir por sí misma sobre el tratamiento médico prescrito (FJ 5); y (ii) la decisión que se adopte ha de responder al fin estricto de proteger a la persona con discapacidad y adecuarse a dicho fin la ponderación de los beneficios y perjuicios de modo que esté basada en argumentos que permitan considerar que el criterio adoptado es proporcionado a las necesidades de la persona con discapacidad, de acuerdo con las circunstancias concurrentes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el presente caso, como también se concluyó en la citada STC 38/2023, FJ 7, el Tribunal rechaza que se haya vulnerado el art. 15 CE, en el sentido alegado en la demanda, una vez que se constata que (i) la decisión judicial se ha fundamentado en un informe médico sobre la incapacidad de la interesada para manifestar su voluntad acerca de la administración de la vacuna, sin que hubiera dejado tampoco, en anticipación de esa situación, instrucciones al respecto; (ii) la negativa de la demandante a la vacunación de su madre fue expresada de forma tajante, general e incondicionada, sin admitir, en modo alguno, cualquier posibilidad de rectificación en función de una mayor información que le pudiera ser aportada de conformidad con el derecho a un consentimiento informado; (iii) la decisión judicial no desbordó los límites de cobertura del precepto habilitante al establecerse como premisa de la ponderación la protección de la salud de la interesada; y (iv) los criterios de ponderación empleados en las resoluciones judiciales responden a la finalidad legítima de proteger los intereses de la persona vulnerable al incidirse en la fiabilidad de la vacuna vinculada a su aprobación por la Agencia Europea del Medicamento y la Agencia Española del Medicamento y Productos Sanitarios y su sometimiento a seguimiento permanente; la asimilación general de los márgenes de riesgo asociados a dicha vacuna a los habituales en cualquier otra vacuna recomendada por las autoridades sanitarias; la existencia de un contexto de riesgo cualificado para la salud de la interesada por razón de su avanzada edad; y la existencia de informes periciales que acreditaban la inexistencia de contraindicaciones específicas, lo que determinaba que fuera mayor y más grave el riesgo de contraer la infección por coronavirus que la de padecer algún efecto secundario de la administración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M.L.G.R., y archivar su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