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2105-2023, promovido por doña Susana Morales Montegrifo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marzo de 2023 la procuradora de los tribunales doña Ana María Araúz de Robles Villalón, en nombre y representación de doña Susana Morales Montegrifo y bajo la dirección del letrado don Francisco Javier Araúz de Robles Dávila, interpuso demanda de amparo contra la providencia de 15 de septiembre de 2022 dictada por la Sección Primera de la Sala de lo Contencioso-Administrativo del Tribunal Supremo en recurso de casación núm. 409-2022.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25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2105-2023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