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2285-2023, promovido por don Eduardo Padial Muñoz,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abril de 2023 la procuradora de los tribunales doña Ana María Araúz de Robles Villalón, en nombre y representación de don Eduardo Padial Muñoz y bajo la dirección del letrado don Francisco Javier Araúz de Robles Dávila, interpuso demanda de amparo contra el auto de 24 de noviembre de 2022, dictado por la Sección Primera Sala de lo Contencioso-Administrativo del Tribunal Supremo en recurso de queja núm. 275-2022.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25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2285-2023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