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6971-2022, promovido por doña Magdalena Álvarez Arza , en relación con (i) la sentencia núm. 490/2019, de 19 de noviembre, dictada por la Sección Primera de la Audiencia Provincial de Sevilla en el procedimiento abreviado núm. 133-2016, rollo núm. 1965-2017, y (ii) la sentencia de la Sala de lo Penal del Tribunal Supremo núm. 749/2022, de 13 de septiembre, que desestima el recurso de casación núm. 601-2020 formulado por el demandante de amparo frente a la anterior,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26 de octubre de 2022 la representación procesal de doña Magdalena Álvarez Arza interpuso recurso de amparo contra (i) la sentencia núm. 490/2019, de 19 de noviembre, dictada por la Sección Primera de la Audiencia Provincial de Sevilla en el procedimiento abreviado núm. 133-2016 rollo núm. 1965-2017, y (ii) la sentencia de la Sala de lo Penal del Tribunal Supremo núm. 749/2022, de 13 de septiembre, que desestima el recurso de casación núm. 601-2020 formulado por el demandante de amparo frente 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dictada en fecha 19 de noviembre de 2019, la Audiencia Provincial de Sevilla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la operativa imputada consiste en haber participado en la llamada fase prelegislativa (bien sea en la fase de elaboración de anteproyecto de ley, bien en la aprobación del proyecto de ley) para la elaboración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en la que se basarían los proyectos de ley, los anteproyectos de ley y las modificaciones presupuestarias se cifra en que la partida presupuestaria 22E, habitualmente utilizada para realizar transferencias en el marco de ayudas socio laborales, se encontraba (de conformidad con lo establecido en la Ley 5/1987 de 19 de julio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lo que, sin alterar el programa 22E, se modificó su clasificación incluyendo la cantidad presupuestaria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de un lado,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siendo que a partir del 2001 los fondos recibidos por el Instituto de Fomento de Andalucía fueron movilizados al destinatario final mediante suscripción de convenios particulares con otras entidades. A partir del año 2002 y hasta el 2009 se procedieron a elaborar y aprobar los proyectos de ley de presupuestos en los que se incluía la partida “transferencias de financiación al citado Instituto de Fomento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los 700 millones de euros) habrían sido otorgadas, entre otros defectos, sin expediente de concesión, sin publicidad, sin fiscalización previa, sin autorización, sin memoria explicativa y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demandante fue condenada por haber participado en los hechos anteriores, en su calidad de consejera de Economía y Hacienda de la Comunidad Autónoma de Andalucía, como autora de un delito de prevaricación (art. 404 del Código penal: CP) a la pena de nueve años de inhabilitación especial, con la consiguiente privación definitiva de todo cargo público de carácter electivo o de designación, en cualquier administración pública, que tenga la penada, y la incapacidad para obtenerlos durante el tiempo de la condena. Imponiéndole el pago de una treintaisieteava parte de las costas procesales causadas, excluidas las de las acusaciones populares.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 la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la legalidad penal (art. 25.1 CE) por cuatro razones de diferente índole: (i) en primer lugar, porque órganos judiciales han llevado a cabo una interpretación extravagante e imprevisible del elemento típico “resolución” del art. 404 CP, al considerar que cada acto de tramitación prelegislativo de la ley de presupuestos —anteproyectos y proyectos de ley— constituye una “resolución” autónoma con base en una interpretación incompatible con la jurisprudencia de la Sala Segunda del Tribunal Supremo y fundada en pautas valorativas contrarias al principio democrático y al de separación de poderes; (ii) en segundo lugar, porque la condena se funda en una aplicación retroactiva de un cambio jurisprudencial en el concepto de “resolución” del art. 404 CP manifiestamente imprevisible en el momento en que fueron cometidos los hechos enjuiciados; (iii) en tercer lugar, porque los órganos judiciales han llevado a cabo una interpretación extravagante e imprevisible del elemento típico “asunto administrativo” del art. 404 CP, ya que la argumentación con base en la que se califican como “asunto administrativo” los proyectos y anteproyectos de la ley de presupuestos y las modificaciones presupuestarias resulta ajena a toda pauta razonable de interpretación jurídica; (iv) en cuarto lugar, porque los órganos judiciales han llevado a cabo una interpretación extravagante e imprevisible del elemento típico “asunto administrativo” del art. 404 CP, al incurrir en contradicciones lógicas y desconocer la relevancia inherente a la aprobación de las leyes de presupuestos por 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justifica la especial trascendencia constitucional del recurso al tratarse de un supuesto que daría la oportunidad al tribunal a pronunciarse sobre una materia relativa a un derecho fundamental sobre el que no existe doctrina del tribunal [apartado a) del FJ 2 de la STC 155/2009] y al tratarse de una cuestión jurídica relevante y de general repercusión social [supuesto g) enunciado en el FJ 2 de la STC 155/2009], al tratarse de la primera condena por el denominado caso de los “ERE” y dada cuenta que la directa aplicabilidad que las sentencias que resuelven el denominado “procedimiento específico” va a tener para las innumerables piezas separadas (más de cien) que se siguen tramitando y que se refieren a la concesión de ayudas individuales. Para la demandante la cuestión tiene una evidente repercusión y envergadura económica ya que las sentencias impugnadas llegan a la conclusión que la totalidad de las ayudas sociolaborales concedidas al amparo del programa presupuestario 31L son malversadoras. Esta conclusión se contradeciría con la propia Junta de Andalucía que habría asignado eficacia y validado la concesión de muchas de estas ayudas, lo que produce conclusiones opuestas y que pueden conllevar a que la Junta se vea obligada a exigir el resarcimiento por la totalidad de las ayudas concedidas durante los últimos diez años (aunque fueran legítimas) lo que lleva aparejada una gran repercusión económica y social. La existencia de una repercusión social se reafirmaría también dado que la presente demanda se encuentra irremediablemente vinculada a materia parlamentaria al suscitarse cuestiones de tal calado como los límites a la iniciativa legislativa del gobierno y la naturaleza institucional y jurídica de los proyectos y anteproyectos de ley o de las modificaciones presupuestarias, la posible fiscalización del poder judicial de textos prelegislativos y la vigencia de una ley de presupuestos de contenido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razones anteriormente señaladas se imbricarían también con cuestiones relacionadas con el principio de legalidad penal (art. 25 CE) ya que se habría producido una aplicación irrazonable y extravagante de tipo penal y que desembocaría en cuestiones como la calificación como “resolución” a los efectos del art. 404 CP de un acto prelegislativo como el anteproyecto de ley, si estos actos prelegislativos pueden ser considerados dictados en “asunto administrativo”, y si puede considerarse como manifiestamente ilegal un texto prelegislativo posteriormente ratificado por un Parlamento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último lugar, señala que la necesidad de dictar doctrina se extendería a la cuestión de si debe considerarse contrario a las garantías emanadas del derecho fundamental a la legalidad penal la aplicación retroactiva de una jurisprudencia desfavorable al reo. Para la demandante, esta aplicación retroactiva se daría dada cuenta que la condena se fundamenta en la STS 163/2019, de 26 de marzo, en la que, por primera vez, y sin apoyos jurisprudenciales previos, se modificó la interpretación del elemento típico de “resolución” en asunto administrativo para extenderlo a cualquier acto previo que haya tenido una eficacia causal determinante en la administración final. Dicha resolución es posterior a la fecha de los hechos e, incluso, al momento en que la señora Álvarez fue escuchada como imputada.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solicita que se declare la vulneración de los derechos invocados, el restablecimiento de su contenido y la nulidad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26 de octubre de 2022 la representación procesal de doña Magdalena Álvarez Arza interpuso recurso de amparo contra (i) la sentencia núm. 490/2019, de 19 de noviembre, dictada por la Sección Primera de la Audiencia Provincial de Sevilla en el procedimiento abreviado núm. 133-2016, rollo núm. 1965-2017, y (ii) la sentencia de la Sala de lo Penal del Tribunal Supremo núm. 749/2022, de 13 de septiembre, que desestima el recurso de casación núm. 601-2020 formulado por el demandante de amparo frente 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de la Ley Orgánica del Tribunal Constitucional (LOTC) ha decidido asumir la decisión sobre la admisibilidad del presente recurso, tras su examen liminar, que es el que corresponde a esta fase del procedimiento, aprecia que las vulneraciones de derechos fundamentales aducidas en la demanda no carecen prima facie de verosimilitud; asimismo, la Sala aprecia que concurre en el recurso una especial trascendencia (art. 50.1 LOTC): (i) porque el recurso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de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o económica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