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7007-2022, promovido por don Manuel María Chaves González, en relación con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27 de octubre de 2022 la representación procesal de don Manuel María Chaves González interpuso recurso de amparo contra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siendo que a partir del 2001 los fondos recibidos por el Instituto de Fomento de Andalucía fueron movilizados al destinatario final mediante suscripción de convenios particulares con otras entidades. A partir del año 2002 y hasta el 2009 se procedieron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los 700 millones de euros) habrían sido otorgadas, entre otros defectos, sin expediente de concesión, sin publicidad, sin fiscalización previa, sin autorización, sin memoria explicativa y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fue condenado por haber participado en los hechos anteriores, en su calidad de presidente de la Junta de Andalucía, como autor de un delito de prevaricación (art. 404 del Código penal: CP) a la pena de nueve años de inhabilitación especial, con la consiguiente privación definitiva de todo cargo público de carácter electivo o de designación, en cualquier administración pública, que tenga el penado, y la incapacidad para obtenerlos durante el tiempo de la condena. Imponiéndole el pago de una treintaisieteava parte de las costas procesales causadas, excluidas las de las acusaciones populares.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legalidad penal (art. 25.1 CE) por dos razones de diferente índole: (i) en primer lugar, porque órganos judiciales han llevado a cabo una interpretación extensiva y analógica in malam partem del elemento típico “resolución en asunto administrativo” del art. 404 CP, al considerar como “resolución en asunto administrativo” los acuerdos adoptados sucesivamente por el Consejo de Gobierno de la Junta de Andalucía, por los que se aprobaron los anteproyectos de ley de presupuestos de la comunidad autónoma y se remitieron como proyectos de ley al Parlamento de Andalucía; y (ii) en segundo lugar, porque los órganos judiciales habrían llevado a cabo una interpretación extensiva y analógica in malam partem del elemento típico “resolución en asunto administrativo” del art. 404 CP, al considerar como “resolución en asunto administrativo” los acuerdos adoptados por el Consejo de Gobierno de la Junta de Andalucía, relativos a determinadas modificaciones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justifica la especial trascendencia constitucional del recurso por dos motivos: en primer lugar, por la ausencia de doctrina constitucional [apartado a) del fundamento jurídico 2 de la STC 155/2009] sobre la naturaleza jurídica de las distintas fases de la iniciativa legislativa y, derivado de ello, los límites al control jurisdiccional de cada una de esas fases. El Tribunal Supremo, alejándose de los pronunciamientos establecidos por el Tribunal Constitucional y por la Sala Tercera del propio Tribunal Supremo, ha considerado que la fase prelegislativa en la que se elabora un anteproyecto de ley puede deslindarse o escindirse de la iniciativa legislativa y puede ser calificada como procedimiento administrativo a los efectos del art. 404 CP. Esto produciría una afectación en el principio de legalidad penal (art. 25 CE) toda vez que se habría realizado una interpretación contraria a este derecho en la medida que, por un lado, interpreta la naturaleza jurídica de los actos políticos o de gobierno y, por otro lado, desconoce lo que es su propia jurisprudencia. La Sala Segunda distinguiría, en definitiva, entre proyectos de ley y anteproyectos de ley para escindir estos últimos de la función legislativa y penarlos así por el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defiende el demandante que el caso presenta relevante y general repercusión social y económica [supuesto g) enunciado en el fundamento jurídico 2 de la STC 155/2009], dada cuenta que la cuestión plantada daría al tribunal la oportunidad de pronunciarse sobre la naturaleza jurídica de la primera fase de iniciativa prelegislativa y sobre la naturaleza jurídica de las modificaciones presupuestarias, debiéndose tener en cuenta que sin fase prelegislativa no existiría iniciativa legislativa por lo que no puede escindirse la primera de esta última. Por último, la especial trascendencia constitucional residiría también en la importancia del instrumento jurídico de las modificaciones presupuestarias dada “la importancia de este instrumento jurídico en la actividad gubernamental” no existiendo “doctrina constitucional ni jurisprudencial sobre cuál es su naturaleza jurídica, con las relevantes repercusiones que ello 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solicita que se declare la vulneración de los derechos invocados, el restablecimiento de su contenido y la nulidad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27 de octubre de 2022 la representación procesal de don Manuel María Chaves González interpuso recurso de amparo contra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de la Ley Orgánica del Tribunal Constitucional (LOTC) ha decidido asumir la decisión sobre la admisibilidad del presente recurso, tras su examen liminar, que es el que corresponde a esta fase del procedimiento, aprecia que las vulneraciones de derechos fundamentales aducidas en la demanda no carecen prima facie de verosimilitud; 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FJ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