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2239-2023, promovido por don Juan Márquez Contreras en relación con (i) la sentencia núm. 490/2019, de 19 de noviembre, dictada por la Sección Primera de la Audiencia Provincial de Sevilla en el rollo núm. 1965-2017, dimanante del procedimiento abreviado núm. 133-2016; (ii) la sentencia núm. 749/2022, de 13 de septiembre de la Sala de lo Penal del Tribunal Supremo, en el recurso de casación núm. 601-2020, y (iii) el auto de 16 de febrero de 2013 de la misma Sala,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4 de abril de 2023 la representación procesal de don Juan Márquez Contreras interpuso recurso de amparo contra la sentencia núm. 490/2019, de 19 de noviembre, dictada por la Sección Primera de la Audiencia Provincial de Sevilla en el rollo núm. 1965-2017, dimanante del procedimiento abreviado núm. 133-2016, contra la sentencia núm. 749/2022, de 13 de septiembre, de la Sala de lo Penal del Tribunal Supremo, dictada en el recurso de casación núm. 601-2020, que desestimó el recurso de casación que interpuso contra la anterior sentencia, y contra el auto de 16 de febrero de 2023 de la misma sala que inadmitió el ulterior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de la demanda de amparo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dictada en fecha 19 de noviembre de 2019, la Audiencia Provincial de Sevilla condenó, en el marco de la denominada “pieza específica” del caso “ERE”, a diversos miembros del Gobierno y de la administración de la Junta de Andalucía —incluyendo desde presidentes de la comunidad a directores generales— por haber intervenido, a lo largo de casi diez años, en el diseño de un sistema ilegal de concesión de ayudas sociolaborales.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y sin perjuicio de la concreta participación que pudieron tener cada uno de los diferentes encausados/condenados y cuya extensión delimita los delitos por los que finalmente fueron sentenciados, la operativa imputada consiste en haber participado en la llamada fase prelegislativa (bien sea en la fase de elaboración de anteproyecto de ley, bien en la aprobación del proyecto de ley) para la elaboración de las leyes de presupuestos desde los años 2002 a 2009 y en su consiguiente elevación al Parlamento para su examen, enmienda y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ilegalidad en la que se basarían los proyectos de ley, los anteproyectos de ley y las modificaciones presupuestarias se cifra en que la partida presupuestaria 22E, habitualmente utilizada para realizar transferencias en el marco de ayudas socio laborales, se encontraba (de conformidad con lo establecido en la Ley 5/1987 de 19 de julio —arts. 77, 81 y concordantes—) sujeta a control previo de la intervención general de la Junta de Andalucía y, por ende, a un seguimiento y control de fiscalización. Ante las dificultades surgidas en el año 2000 por los reparos presentados a diversos expedientes por la Intervención General, se procedió a una modificación presupuestaria a iniciativa de la Consejería de Empleo, por lo que, sin alterar el programa 22E, se modificó su clasificación incluyendo la cantidad presupuestaria en la partida presupuestaria 440.1.2 correspondiente a transferencias de financiación al Instituto de Fomento de Andalucía para que dicho instituto, bajo las directrices de la Consejería de Empleo, otorgara las ayudas sociolaborales sin el sometimiento al control previo de la administración. De esta manera se conseguía, de un lado, que los expedientes de gasto no fueran objeto de fiscalización en la Consejería, porque los fondos habían sido transferidos al Instituto de Fomento de Andalucía y, de otro, que en el Instituto de Fomento de Andalucía no pudiera llevarse a cabo esa fiscalización, ya que el instituto estaba sujeto a un control financiero permanente de manera que solo se fiscalizaba el pago a posteriori.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llevo a que en el año 2000 el Consejo de Gobierno de Andalucía aprobara dos modificaciones presupuestarias siguiendo el criterio de presupuestación anteriormente señalado, y que a partir del 2001 los fondos recibidos por el Instituto de Fomento de Andalucía fueran movilizados al destinatario final mediante suscripción de convenios particulares con otras entidades. Desde el año 2002 hasta el 2009 se procedieron a elaborar y aprobar los proyectos de ley de presupuestos en los que se incluía la partida “transferencias de financiación al Instituto de Fomento de Andalucía en materia de relaciones laborales” (partida destinada al equilibrio de las cuentas de pérdidas y ganancias de la citada empresa pública) en el nuevo programa 31L que sustituía al 22E, y, salvo en 2003, se aprobaron además modificaciones presupuestarias para elevar el crédito de la partida 440. En virtud de ello, las ayudas sociolaborales (en cuantía cercana a 700 millones de euros) habrían sido otorgadas, entre otros defectos: a) sin expediente de concesión; b) sin publicidad; c) sin fiscalización previa; d) sin autorización; e) sin memoria explicativa, y f) sin acreditación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que ostentó el cargo de director general de trabajo de la Consejería de Empleo de la Junta de Andalucía desde abril de 2008 hasta abril de abril de 2010, fue condenado por un delito de prevaricación administrativa del art. 404 del Código penal (CP), en concurso medial con un delito de malversación de caudales públicos del art. 432 CP, a las penas de siete años y un día de prisión, y dieciocho años y un día de inhabilitación absoluta, con la consiguiente privación definitiva de todos los honores, empleos y cargos públicos, aunque sean electivos, e incapacidad para obtener los mismos o cualesquiera otros honores, cargos o empleos públicos y la de ser elegido para cargo público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demandante interpuso recurso de casación que fue estimado parcialmente en sentencia núm. 749/2022, de 13 de septiembre, de la Sala de lo Penal del Tribunal Supremo, que apreció la concurrencia de la circunstancia atenuante analógica de reparación del daño del art. 21.7 CP como muy cualificada y le rebajó en un grado las penas, que quedaron definitivamente fijadas en tres años de prisión y siete años y seis meses de inhabilitación absoluta.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promovió incidente de nulidad de actuaciones que fue inadmitido por auto de 16 de febrero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alegan como motivos de amparo las siguientes vulneraciones de derechos fundamentales: (i) del derecho a la presunción de inocencia (art. 24.2 CE) como regla de tratamiento en conexión con el derecho al honor (art. 18.1 CE) como consecuencia del anticipo del fallo condenatorio en providencia dictada por el Tribunal Supremo el 26 de julio de 2022, con mucha antelación a la notificación de la sentencia completa, que se produjo el 14 de septiembre de 2022; (ii) de los derechos a un proceso con todas las garantías, a la presunción de inocencia y a la tutela judicial efectiva (art. 24.1 y 2 CE) porque en la sentencia de casación se han incluido datos fácticos que no aparecen en el relato de hechos probados de la sentencia de primera instancia para apreciar un dolo directo de malversar que no se desprende de aquel, y (iii) del derecho a la presunción de inocencia (art. 24.2 CE) porque no existe un acervo probatorio concluyente para declararle culpable del delito de malversación, de modo que la condena se basaría en una valoración irracional, ilógica y arbitraria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justificación de la especial trascendencia constitucional se alega que no existe doctrina constitucional sobre la práctica de notificar y publicar únicamente el fallo de la sentencia antes de notificarse y publicarse la sentencia completa, práctica que merece ser erradicada porque supone una vulneración del derecho al honor y a la presunción de inocencia como regla de tratamiento. También se alega que se plantea una cuestión de relevante y general repercusión social por la extraordinaria divulgación mediática del caso, que ha dado lugar a la condena de dos presidentes de comunidad autónoma, por el contenido de la sentencia, que ha dado lugar a una desconocida formulación del delito de malversación de caudales públicos, y porque la solución que el Tribunal dé al caso determinará el éxito o el fracaso de las opciones de defensa en las múltiples piezas separadas cuyos juicios están pendientes de celebración.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solicita la nulidad parcial de las resoluciones judiciales impugnadas y por otrosí la suspensión cautelar de la ejecución de la pena de prisión en los términos del art. 56.2 de la Ley Orgánica del Tribunal Constitucional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4 de abril de 2023 la representación procesal de don Juan Márquez Contreras interpuso recurso de amparo contra (i) la sentencia núm. 490/2019, de 19 de noviembre, dictada por la Sección Primera de la Audiencia Provincial de Sevilla en el rollo núm. 1965-2017 dimanante del procedimiento abreviado núm. 133-2016; (ii) la sentencia núm. 749/2022, de 13 de septiembre dictada por la Sala de lo Penal del Tribunal Supremo en el recurso de casación núm. 601-2020, que estima parcialmente el recurso de casación formulado por el demandante de amparo frente a la anterior, y (iii) el auto de la Sala de 16 de febrero de 2023, que inadmite el incidente de nulidad de actuaciones interpuesto frente a la citada sentencia desestimatoria. Por otrosí ha interesado la suspensión de la ejecución de la sentencia impugnada en lo relativo a la pena de prisión conforme al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que al amparo del art. 11.2 LOTC ha decidido asumir la decisión sobre la admisibilidad del presente recurso, tras su examen liminar, que es el que corresponde a esta fase del procedimiento, aprecia que las vulneraciones de derechos fundamentales aducidas en la demanda no carecen prima facie de verosimilitud; asimismo, la Sala aprecia que concurre en el recurso una especial trascendencia (art. 50.1 LOTC): (i) porque el recurso plantea un problema o afecta a una faceta de un derecho fundamental sobre el que no hay doctrina de este Tribunal [STC 155/2009, FJ 2 a)], concretamente sobre la posible proyección de la regla de tratamiento que excluye actuaciones de los funcionarios y los poderes públicos que traten como culpable a quien no ha sido legalmente declarado como tal en tanto que contenido del derecho a la presunción de inocencia (art. 24.2 CE) a la actuación cuestionada en la demanda de publicar el fallo confirmatorio de una condena sin haber notificado ni dado a conocer el texto de la sentencia, y (ii) porque el asunto trasciende del caso concreto debido a que plantea una cuestión jurídica de relevante y general repercusión social y tiene unas consecuencias políticas generales en el ámbito de las relaciones entre el Gobierno, el Parlamento y el Poder Judicial [STC 155/2009, FJ 2 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Avocar a la Sala la decisión de admisibilidad de este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apreciando que concurre en el mismo una especial trascendencia constitucional [art. 50.1 b)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En aplicación de lo dispuesto en el art. 51 LOTC, requerir atentamente a la Sección Primera de la Audiencia Provincial de Sevilla a fin de que, en plazo que no exceda de diez días, remita certificación o fotocopia adverada de las actuaciones correspondientes al procedimiento abreviado núm. 133-2016, rollo núm. 1965-2017, así como emplazar a quienes hubieran sido parte en el procedimiento, excepto a la parte recurrente en amparo, para que en el plazo de diez días puedan comparecer, si lo desean, en el presente recurso. Requerir también, en el mismo sentido y con el mismo plazo, a la Sala de lo Penal del Tribunal Supremo para que remita certificación o fotocopia adverada de las actuaciones correspondientes al recurso de casación núm. 601-2020.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Formar pieza separada de suspensión y en ella conceder un plazo de tres días al Ministerio Fiscal y al solicitante de amparo para que efectúen las alegaciones respecto de dicha cuestión.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5º Avocar al Pleno el conocimiento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conjunto que formulan los magistrados don César Tolosa Tribiño y don Enrique Arnaldo Alcubilla a los autos dictados en los recursos de amparo núm. 6971-2022, 7007-2022, 2119-2023, 2136-2023, 2239-2023, 2348-2023, 2360-2023, 2361-2023, 2391-2023, 2411-2023, 2485-2023 y 2552-2023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formulamos el presente voto particular. Consideramos, a diferencia de las resoluciones adoptadas por la Sala, que los recursos de amparo debieron ser inadmitidos a trámite por carecer de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Los autos de la Sala de los que discrepamos aprecian dos motivos de especial trascendencia constitucional para acordar la admisión a trámite de los recursos de amparo. interpuestos por los recurrentes contra las sentencias condenatorias dictadas en la pieza principal de la causa judicial de los “ERE” de Andalucía (sentencia dictada por la Sección Primera de la Audiencia Provincial de Sevilla en rollo de sala núm. 1965-2017 y sentencia dictada por la Sala de lo Penal del Tribunal Supremo en recurso de casación núm. 601-2020). En primer lugar, que los recursos plantean problemas jurídicos que afectan a una faceta de un derecho fundamental sobre el que no hay doctrina constitucional. Además, que el asunto trasciende del caso concreto, debido a que plantea una cuestión jurídica de relevante y general repercusión social y que tiene unas consecuencias políticas generales. Ambos motivos se corresponden con dos de las causas que este tribunal enunció como supuestos en los que un recurso de amparo tiene especial trascendencia constitucional, en los apartados a) y g) del fundamento jurídico 2 de la STC 155/2009, de 25 de junio.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Disentimos de las razones que han llevado a la mayoría de la Sala Segunda de este tribunal a la admisión de estos recursos de amparo contra las sentencias condenatorias en el conocido como caso ERE. La queja nuclear que en estos recursos se plantea radica en la pretendida vulneración del derecho a la legalidad penal (art. 25.1 CE), cuestionando los recurrentes al abrigo de este derecho fundamental la interpretación que ha llevado a cabo en su sentencia la Sala Segunda del Tribunal Supremo, bien del art. 404 CP, al tipificar el delito de prevaricación, bien del art. 432 CP, al tipificar el delito de malversación, confirmando en casación la sentencia condenatoria dictada por la Audiencia Provincial de Sevilla.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que deba darse a dichos preceptos del Código penal y su aplicación al caso constituye, sin embargo, una labor que, de conformidad con el art. 117.3 CE, compete exclusivamente a la jurisdicción ordinaria, en este supuesto, a la Audiencia Provincial de Sevilla y a la Sala de lo Penal del Tribunal Supremo. El Tribunal Constitucional ha señalado repetidamente que no tiene competencia para definir o interpretar los elementos objetivos y subjetivos del tipo penal, al tratarse de una cuestión de estricta legalidad ordinaria. En efecto, la función de interpretar y aplicar la legislación vigente, subsumiendo en las normas los hechos enjuiciados, corresponde en exclusiva a los jueces y tribunales, sin que pueda el Tribunal Constitucional sustituirles en dichas tareas ni determinar cuál de entre todas las interpretaciones posibles de la norma es la más correcta (entre otras muchas, SSTC 137/1997, de 21 de julio, FJ 7; 142/1999, de 22 de julio, FJ 4; 167/2001, de 16 de julio, FJ 3; 13/2003, de 28 de enero, FJ 3, y 51/2005, de 14 de marzo,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algunos de dichos recursos de amparo se plantean, con carácter subsidiario, quejas relativas a la vulneración de los derechos a la defensa, a la presunción de inocencia y a un proceso con todas las garantías, si bien sobre dichas cuestiones ya existe una consolidada jurisprudencia de este tribunal, por lo que no estaríamos ante un supuesto en el que se “plantee un problema o una faceta de un derecho fundamental susceptible de amparo sobre el que no haya doctrina del Tribunal Constitucional”, tratándose de un problema que afecta meramente a su aplicación en el caso concreto. De nuevo, por tanto, una tarea de exclusiva competencia de la jurisdicción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Por otro lado, la Sala ha decidido reconocer la especial trascendencia constitucional de los recursos de amparo también en atención a su relevancia social y a las consecuencias políticas generales, separándose del criterio mantenido en asuntos recientes en los que no hemos considerado suficiente para la admisión a trámite de un recurso ni la relevancia política ni la notoriedad pública del recurrente; y, tratándose de causas penales de corrupción, como en este caso, tampoco hemos estimado que la repercusión política o social que esas causas penales hubieran tenido dotase a los recursos de amparo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en el año 2019 este tribunal inadmitió por falta de especial trascendencia constitucional el recurso de amparo interpuesto por el principal condenado en el conocido como el “caso Nóos” (recurso de amparo 5753-2018) y, con una evidente similitud con el asunto que nos ocupa, este tribunal inadmitió en el año 2021 todos los recursos de amparo interpuestos por las personas que habían sido condenadas en la conocida como “trama Gürtel”, también por falta de especial trascendencia constitucional (recursos de amparo 5630-2020, 5640-2020, 5817-2020, 5873-2020, 321-2021 y 833-2021).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Asimismo cabe advertir que en el año 2020 inadmitimos los recursos de amparo interpuestos por los condenados en el denominado “caso de Las Teresitas” (recursos de amparo 3027-2019, 4373-2019 y 4389-2019), en los que se planteaba también, entre otras cuestiones, la vulneración del principio de legalidad penal por la indebida interpretación de los tipos penales relativos al delito de prevaricación (art. 404 CP) y al delito de malversación (art. 432 CP), por estimar como motivo de inadmisión que las cuestiones suscitadas carecían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En definitiva, no solo no concurren en los recursos de amparo admitidos en los autos de los que disentimos razones que los hagan merecedores de una resolución sobre el fondo por parte de este tribunal, sino que, además, la Sala con la decisión adoptada se ha apartado sin justificación alguna del criterio seguido en asuntos precedentes en los que no hemos admitido la especial trascendencia constitucional de recursos de amparo que afectaban también a complejas causas penales de corrupción que han tenido lugar en nuestro país y que han alcanzado amplia repercusión política y mediática.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nuestro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siete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