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2348-2023, promovido por don Antonio Fernández García, en relación con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10 de abril de 2023 la representación procesal de don Antonio Fernández García interpuso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dictada en fecha 19 de noviembre de 2019, la Audiencia Provincial de Sevilla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la operativa imputada consiste en haber participado en la llamada fase prelegislativa (bien sea en la fase de elaboración de anteproyecto de ley, bien en la aprobación del proyecto de ley) para la elaboración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en la que se basarían los proyectos de ley, los anteproyectos de ley y las modificaciones presupuestarias se cifra en que la partida presupuestaria 22E, habitualmente utilizada para realizar transferencias en el marco de ayudas socio laborales, se encontraba (de conformidad con lo establecido en la Ley 5/1987 de 19 de julio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lo que, sin alterar el programa 22E, se modificó su clasificación incluyendo la cantidad presupuestaria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de un lado,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siendo que a partir del 2001 los fondos recibidos por el Instituto de Fomento de Andalucía fueron movilizados al destinatario final mediante suscripción de convenios particulares con otras entidades. A partir del año 2002 y hasta el 2009 se procedieron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los 700 millones de euros) habrían sido otorgadas, entre otros defectos, sin expediente de concesión, sin publicidad, sin fiscalización previa, sin autorización, sin memoria explicativa y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fue condenado, en su condición de viceconsejero (29 de abril de 2000 a 25 de abril de 2004) y consejero de empleo (25 de abril de 2004 a 22 de marzo de 2010) de la Junta de Andalucía así como de presidente del Instituto de Fomento de Andalucía (6 de junio de 2001 a 28 de enero de 2003), como autor de un delito de prevaricación (art. 404 del Código penal: CP) en concurso medial con un delito de malversación (art. 432 CP), a las penas de siete años y once meses y un día de prisión, inhabilitación especial para el derecho de sufragio pasivo durante el tiempo de la condena, e inhabilitación absoluta por tiempo de diecinueve años, seis meses y un día,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el recurrente frente a la sentencia del Tribunal Supremo que desestimó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formulan diversos motivos, que cabe sintetizar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Vulneración del derecho a la presunción de inocencia (art. 24.2 CE). La condena por el delito de malversación se basa en una resultancia de hechos probados absolutamente inconcreta e imprecisa, que no integra los elementos del delito ni describe la participación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Vulneración del derecho a la legalidad penal (art. 25.1 CE). Se condena al demandante sin concurrir los requisitos típicos del delito de malversación, en una aplicación inesperada e imprevisible del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Vulneración del derecho a la presunción de inocencia (art. 24.2 CE). El órgano de instancia no ha efectuado una valoración racional de la prueba en relación con el delito de malversación, siendo ilógico, irrazonable e insuficiente el iter que conduce desde la prueba al hecho probado.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Vulneración del derecho a la tutela judicial efectiva por incongruencia omisiva (art. 24.1 CE). Falta de respuesta del Tribunal Supremo a determinadas pretensiones explícitamente planteadas en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Vulneración del derecho a la presunción de inocencia (art. 24.2 CE. Inclusión en la sentencia de casación de datos fácticos ajenos al factum de la sentencia de instancia para confirmar la subsunción.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Vulneración de los derechos a la presunción de inocencia extraprocesal (art. 24.2 CE), al honor (art. 18.1 CE), a un proceso con todas las garantías (art. 24.2 CE) y a la tutela judicial efectiva (art. 24.1 CE). Publicación anticipada del fallo de la sentencia de casación, antes de que fuera notificada íntegramente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justifica la especial trascendencia constitucional del recurso en primer lugar por la ausencia de doctrina constitucional [apartado a) del fundamento jurídico 2 de la STC 155/2009] sobre dos cuestiones: sobre la afectación a diversos derechos fundamentales que tendría la práctica procesal del Tribunal Supremo de publicar únicamente el fallo de la sentencia, sin haberse notificado ni publicado el texto completo; y sobre la cuestionable construcción de la prevaricación en las resoluciones impugnadas desde la perspectiva del derecho a la legalidad penal. En segundo lugar, se defiende que el caso presenta relevante y general repercusión social y económica [supuesto g) enunciado en el fundamento jurídico 2 de la STC 155/2009], dado su carácter mediático, su trascendencia en el territorio por repercutir en la concesión de ayudas a más de seis mil trabajadores y la incidencia que la solución al caso que dé el Tribunal Constitucional se proyectará en los múltiples juicios que quedan por celebrar, por un importe próximo a los 700 millones de euros. Se considera también razón acreditativa de la repercusión del caso que haya finalizado con una resolución del Tribunal Supremo a la que dos de los cinco magistrados de la Sala achacan la vulneración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que se declare la vulneración de los derechos invocados y, en consecuencia, la nulidad de las resoluciones impugnadas. Por otrosí solicita la suspensión parcial de la ejecución de la sentencia (de la pena privativa de libertad) al amparo de lo dispuesto en el art. 56.6 de la Ley Orgánica del Tribunal Constitucional (LOTC), justificando la urgencia excepcional a que alude el precepto por la finalidad de evitar que el amparo pierda su eficacia reparadora. Aduce que se halla en prisión y, por ello, entiende que la ejecución de la resolución impugnada le produce un perjuicio grave, real y concreto de carácter irreparable con afectación al derecho a la libertad (art. 17 CE), sin que el hecho de que la pena que se le impuso supere los cinco años que el Tribunal Constitucional maneja como directriz en estos casos constituya, según el propio Tribunal en la jurisprudencia que cita, una barrera infranqueable para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10 de abril de 2023 la representación procesal de don Antonio Fernández García interpuso recurso de amparo contra (i) la sentencia núm. 490/2019, de 19 de noviembre, dictada por la Sección Primera de la Audiencia Provincial de Sevilla en el procedimiento abreviado núm. 133-2016, rollo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ha interesado que se acuerde la suspensión de la ejecución de la sentencia impugnada en lo relativo a la pena de prisión conforme permite el art. 56.6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que al amparo del art. 11.2 LOTC ha decidido asumir la decisión sobre la admisibilidad del presente recurso, tras su examen liminar, que es el que corresponde a esta fase del procedimiento, aprecia que las vulneraciones de derechos fundamentales aducidas en la demanda no carecen prima facie de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aprecia que concurre en el recurso una especial trascendencia (art. 50.1 LOTC): (i) porque el recurso plantea un problema o afecta a una faceta de un derecho fundamental sobre el que no hay doctrina de este tribunal [STC 155/2009, FJ 2 a)], concretamente, plantea la posible proyección de la regla de tratamiento que excluye actuaciones de los funcionarios y los poderes públicos que traten como culpable a quien no ha sido legalmente declarado como tal en tanto que contenido del derecho a la presunción de inocencia (art. 24.2 CE) a la actuación cuestionada en la demanda de publicar el fallo confirmatorio de una condena sin haber notificado ni dado a conocer el texto de la sentencia; y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atañe a la petición de suspensión inaudita parte de la ejecución de la pena privativa de libertad al amparo de la previsión del art. 56.6 LOTC, no se aprecia, a la vista de las circunstancias del caso, la urgencia excepcional a la que se refiere el mencionado precepto. No se alegan ni se observan razones que justifiquen la adopción de la medida cautelar interesada sin seguir el trámite habitual de audiencia, que permite oír, además de al demandante de amparo, al Ministerio Fiscal y las demás partes personadas (art. 56.4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formar la pieza separada de suspensión, en la que se acordará lo 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constitucional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Rechazar la solicitud de suspensión formulada en la demanda de amparo con base en el art. 56.6 LOTC. Formar la oportuna pieza separada de suspensión, y, en ella, conceder un plazo de tres días al Ministerio Fiscal y al solicitante de amparo para que efectúen alegaciones respecto a dicha petición.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