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2391-2023, promovido por doña Carmen Martínez Aguayo,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la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11 de abril de 2023, la representación procesal de doña Carmen Martínez Aguayo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la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sentencia dictada en fecha 19 de noviembre de 2019 por la Sección Primera de la Audiencia Provincial de Sevilla, se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(hechos relatados en los folios 31 a 96 de la sentencia de instancia), la operativa imputada consiste en haber participado en la fase prelegislativa (bien sea en la fase de elaboración del anteproyecto de ley, bien en la aprobación del proyecto de ley) de tramitación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de los proyectos de ley, anteproyectos de ley y modificaciones presupuestarias tiene su origen en la partida presupuestaria 22E, habitualmente utilizada para realizar transferencias en el marco de ayudas sociolaborales, que se encontraba (de conformidad con lo establecido en la Ley 5/1987 de 19 de julio, de la hacienda pública de la Comunidad Autónoma de Andalucía,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la que, sin alterar el programa 22E, se modificó su clasificación incluyendo la cantidad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procedió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y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demandante de amparo fue condenada por haber participado en los hechos anteriores, en su calidad de viceconsejera de la Consejería de Hacienda de la Junta de Andalucía entre 2005 y 2009, como autora de un delito de prevaricación en concurso medial con un delito de malversación agravada. La audiencia le impuso la pena de prisión de seis años y dos días, con inhabilitación especial para el derecho de sufragio pasivo por tiempo de la condena, así como la pena de inhabilitación absoluta por tiempo de quince años y dos días, con privación definitiva de todos los honores, empleos y cargos públicos, aunque sean electivos, e incapacidad para obtener estos o cualesquiera otros honores, y la de ser elegida para cargo público por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 la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como motivos de amparo, las siguientes vulneraciones de derechos fundamentales: (i) del derecho a un proceso con todas las garantías y al juez ordinario predeterminado por la ley (art. 24.2 CE), derivada de la falta de competencia jurisdiccional de los órganos judiciales ordinarios para valorar la acción del Consejo de Gobierno en la fase prelegislativa y para enjuiciar actos de naturaleza legislativa, lo que corresponde exclusivamente al Tribunal Constitucional; (ii) del derecho a la legalidad penal (art. 25.1 CE), derivada de la interpretación extensiva e in malam partem del elemento objetivo del delito de prevaricación del art. 404 del Código penal (CP), al no existir “resolución en asunto administrativo” y al ser calificados de ilegales los proyectos de ley de presupuestos aprobados por el Consejo de Gobierno; (iii) del derecho a la legalidad penal (art. 25.1 CE), por la indebida subsunción de los hechos probados en el delito de malversación del art. 432 CP y por la interpretación extensiva e in malam partem de los elementos de este tipo penal, en particular por la inexistencia de conexión jurídica entre los actos que se le atribuyen a la demandante y los actos de malversación, por la inexistencia de capacidad decisoria de la demandante sobre los fondos públicos malversados y por la inexistencia de precepto legal en el que se pueda fundar la posición de garantía que se le atribuye; (iv) del derecho a la presunción de inocencia (art. 24.2 CE), en relación con el derecho a la libertad (art. 17.1 CE) en cuanto la condena por el delito de malversación carece de prueba de cargo suficiente sobre el elemento subjetivo (dolo eventual) y se funda en indicios que no son unívocos, ni concluyentes, así como en una inferencia demasiada abierta e indeterminada, cuya argumentación no puede considerarse lógica ni coherente; (v) de los derechos a un proceso con todas las garantías (art. 24.2 CE), a la tutela judicial efectiva sin indefensión (art. 24.1 CE) y a la legalidad penal (art. 25.1 CE), en cuanto la sentencia de casación introduce elementos fácticos nuevos en relación con el delito de malversación, que carecen de sustrato probatorio e implican un nuevo juicio de tipicidad; (vi) de los derechos a la legalidad penal (art. 25.1 CE), a la tutela judicial efectiva (art. 24.1 CE), a un proceso con todas las garantías (art. 24.2 CE) y a la presunción de inocencia (art. 24.2 CE), pues la demandante ha sido condenada por un delito de malversación con base en un juicio de culpabilidad realizado ex novo en casación y completamente imprevisible sin que la sentencia de instancia hubiera realizado previamente un verdadero juicio de autoría; y (vii) de los derechos a la presunción de inocencia, en su dimensión extraprocesal (arts. 24.2 y 18.1 CE), a un proceso con todas las garantías (art. 24.2 CE) y a la tutela judicial efectiva (art. 24.1 CE) en cuanto la publicación anticipada del fallo de la sentencia de casación, antes de ser notificada a la demandante, equivaldría a una declaración pública de culpabilidad sin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especial trascendencia constitucional se alega que el recurso plantea un problema o afecta a una faceta de un derecho fundamental sobre el que no hay doctrina de este tribunal [STC 155/2009, de 25 de junio, FJ 2 a)], en particular “la posibilidad de control jurisdiccional en el orden penal sobre esos actos de la administración o a su naturaleza administrativa, y, si tal fuera el caso, sobre el alcance de ese control: más concretamente, sobre si puede en algún modo reputarse ilegal un acto de tramitación o impulso de una propuesta de ley de presupuestos”. El Tribunal Constitucional debe determinar, en particular, “si los actos insertos en un procedimiento prelegislativo que culmina en la propuesta de una ley están sujetos en cuanto a su contenido a la ley, o incluso a normas de inferior rango, o bien se trata de actos cuyo contenido solo puede ser controlado desde una perspectiva constitucional, sujeto al control de ese tribunal, o simplemente no pueden ser objeto de un control de contenido, dada su naturaleza provisoria y su falta de eficacia en el mundo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considera en la demanda que el recurso plantea un problema o afecta a una faceta de un derecho fundamental sobre el que no hay doctrina de este tribunal [STC 155/2009, FJ 2 a)] en lo que se refiere a la anticipación del fallo del recurso de casación por parte del Tribunal Supremo, pues no hay “una doctrina constitucional sobre un aspecto novedoso del derecho fundamental a la presunción de inocencia: si la publicación anticipada del fallo vulnera per se ese derecho, ası́ como el derecho a un proceso con todas las garantías o el derecho a la tutela judicial efectiva sin indefensión”.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igualmente, en la demanda que el recurso trasciende del caso concreto y tiene especial trascendencia constitucional porque plantea una cuestión jurídica de relevante y general repercusión social o económica [STC 155/2009, FJ 2 g)], pues la cuestión jurídica que el Tribunal debe resolver tiene consecuencias políticas generales muy relevantes, pues afecta al libre ejercicio de la potestad de iniciativa legislativa del Gobierno de una comunidad autónoma. Según se alega “[l]a restricción de la potestad de proposición legislativa es, sin miramientos, un acto de debilitamiento democrático y de sometimiento de la soberanía popular a los tribunales ordinarios del orden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interesa que se declare la vulneración de los derechos fundamentales aludidos y, en consecuencia, la nulidad de las resoluciones impugnadas. Asimismo, mediante otrosí, se interesa, al amparo de lo dispuesto en el art. 56.2 de la Ley Orgánica del Tribunal Constitucional (LOTC), la suspensión de la eficacia de las sentencias impugnadas hasta tanto recaiga una resolución definitiva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11 de abril de 2023, la representación procesal de doña Carmen Martínez Aguayo ha interpuesto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formulado por la demandante de amparo frente a la anterior (recurso de casación núm. 601-2020); y (iii) el auto del mismo órgano judicial de 16 de febrero de 2023, que inadmite el incidente de nulidad de actuaciones interpuesto frente a la citada sentencia desestimatoria. Asimismo, por otrosí, ha interesado que se acuerde la suspensión de la ejecución de la sentencia impugnada en lo relativo a la pena de prisión conforme a lo dispuesto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igualmente, en relación con el derecho a la presunción de inocencia (art. 24.2 CE), la posible proyección de la regla de tratamiento que excluye actuaciones de los funcionarios y los poderes públicos que traten como culpable a quien no ha sido legalmente declarado como tal a la actuación cuestionada en la demanda de publicar el fallo confirmatorio de una condena sin haber notificado ni dado a conocer el texto de la sentencia;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en aplicación de lo dispuesto en el art. 51 LOTC,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Formar pieza separada de suspensión y, en ella, conceder un plazo de tres días al Ministerio Fiscal y a la solicitante de amparo para que efectúen alegaciones respecto a dicha petición.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