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294</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5 de junio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Segunda del Tribunal Constitucional, compuesta por la magistrada doña Inmaculada Montalbán Huertas, presidenta, y las magistradas y magistrados doña María Luisa Balaguer Callejón, don Ramón Sáez Valcárcel, don Enrique Arnaldo Alcubilla, don César Tolosa Tribiño y doña Laura Díez Bueso, en el recurso de amparo núm. 2411-2023, promovido por don Gaspar Zarrías Arévalo, en relación con (i) la sentencia núm. 490/2019, de 19 de noviembre, dictada por la Sección Primera de la Audiencia Provincial de Sevilla en el procedimiento abreviado núm. 133-2016, rollo núm. 1965-2017; (ii) la sentencia de la Sala de lo Penal del Tribunal Supremo núm. 749/2022, de 13 de septiembre, que desestima el recurso de casación núm. 601-2020 formulado por el demandante de amparo frente a la anterior; y (iii) el auto del mismo órgano judicial de 16 de febrero de 2023, que inadmite el incidente de nulidad de actuaciones interpuesto frente a la citada sentencia desestimatoria,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del Tribunal Constitucional el 11 de abril de 2023 la representación procesal de don Gaspar Zarrías Arévalo interpuso recurso de amparo contra (i) la sentencia núm. 490/2019, de 19 de noviembre, dictada por la Sección Primera de la Audiencia Provincial de Sevilla en el procedimiento abreviado núm. 133-2016, rollo núm. 1965-2017; (ii) la sentencia de la Sala de lo Penal del Tribunal Supremo núm. 749/2022, de 13 de septiembre, que desestima el recurso de casación núm. 601-2020 formulado por el demandante de amparo frente a la anterior; y (iii) el auto del mismo órgano judicial de 16 de febrero de 2023, que inadmite el incidente de nulidad de actuaciones interpuesto frente a la citada sentencia desestimatoria.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Son antecedentes relevantes para resolver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Por sentencia dictada en fecha 19 de noviembre de 2019, la Audiencia Provincial de Sevilla condenó, en el marco de la denominada “pieza específica” del caso “ERE”, a diversos miembros del Gobierno y de la administración de la Junta de Andalucía —incluyendo desde presidentes de la comunidad a directores generales— por haber intervenido, a lo largo de casi diez años, en el diseño de un sistema ilegal de concesión de ayudas sociolaborales.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particular, y sin perjuicio de la concreta participación que pudieron tener cada uno de los diferentes encausados/condenados y cuya extensión delimita los delitos por los que finalmente fueron sentenciados, la operativa imputada consiste en haber participado en la llamada fase prelegislativa (bien sea en la fase de elaboración del anteproyecto de ley, bien en la aprobación del proyecto de ley) para la elaboración de las leyes de presupuestos desde los años 2002 a 2009 y en su consiguiente elevación al Parlamento para su examen, enmienda y aprobación.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ilegalidad en la que se basarían los proyectos de ley, los anteproyectos de ley y las modificaciones presupuestarias se cifra en que la partida presupuestaria 22E, habitualmente utilizada para realizar transferencias en el marco de ayudas socio laborales, se encontraba (de conformidad con lo establecido en la Ley 5/1987, de 19 de julio, de la hacienda pública de la Comunidad Autónoma de Andalucía, —arts. 77, 81 y concordantes—) sujeta a control previo de la Intervención General de la Junta de Andalucía y, por ende, a un seguimiento y control de fiscalización. Ante las dificultades surgidas en el año 2000 por los reparos presentados a diversos expedientes por la Intervención General, se procedió a una modificación presupuestaria a iniciativa de la Consejería de Empleo, por lo que, sin alterar el programa 22E, se modificó su clasificación incluyendo la cantidad presupuestaria en la partida presupuestaria 440.1.2 correspondiente a transferencias de financiación al Instituto de Fomento de Andalucía para que dicho instituto, bajo las directrices de la Consejería de Empleo, otorgara las ayudas sociolaborales sin el sometimiento al control previo de la administración. De esta manera se conseguía, de un lado, que los expedientes de gasto no fueran objeto de fiscalización en la consejería, porque los fondos habían sido transferidos al Instituto de Fomento de Andalucía y, de otro, que en el Instituto de Fomento de Andalucía no pudiera llevarse a cabo esa fiscalización, ya que el instituto estaba sujeto a un control financiero permanente de manera que solo se fiscalizaba el pago a posteriori.</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Esto llevó a que en el año 2000 el Consejo de Gobierno de Andalucía aprobara dos modificaciones presupuestarias siguiendo el criterio de presupuestación anteriormente señalado, siendo que a partir del 2001 los fondos recibidos por el Instituto de Fomento de Andalucía fueron movilizados al destinatario final mediante suscripción de convenios particulares con otras entidades. A partir del año 2002 y hasta el 2009 se procedieron a elaborar y aprobar los proyectos de ley de presupuestos en los que se incluía la partida “transferencias de financiación al Instituto de Fomento de Andalucía en materia de relaciones laborales” (partida destinada al equilibrio de las cuentas de pérdidas y ganancias de la citada empresa pública) en el nuevo programa 31L, que sustituía al 22E; y, salvo en 2003, se aprobaron además modificaciones presupuestarias para elevar el crédito de la partida 440. En virtud de ello, las ayudas sociolaborales (en cuantía cercana a los 700 millones de euros) habrían sido otorgadas, entre otros defectos, sin expediente de concesión, sin publicidad, sin fiscalización previa, sin autorización, sin memoria explicativa y sin acreditación de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demandante de amparo fue condenado por su participación en tales hechos en su condición de consejero de Presidencia de la Junta de Andalucía, cargo que ocupó entre abril de 1996 y abril de 2009, como autor de un delito de prevaricación [art. 404 del Código penal (CP)] a la pena de nueve años de inhabilitación especial, con la consiguiente privación definitiva de todo cargo público de carácter electivo o de designación, en cualquier administración pública, y la incapacidad para obtenerlos durante el tiempo de la condena.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Interpuesto recurso de casación por la representación procesal del demandante fue desestimado íntegramente por sentencia del Tribunal Supremo núm. 749/2022, de 13 de septiembre.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La representación procesal del demandante de amparo presentó escrito interesando la aclaración o rectificación de la sentencia, que fue estimada parcialmente por auto del Tribunal Supremo de 14 de diciembre de 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Por auto del Tribunal Supremo de 16 de febrero de 2023 se inadmitió el incidente de nulidad de actuaciones formulado por el recurrente frente a la sentencia del Tribunal Supremo que desestimó el recurso de casación.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formulan dos motivos de amparo: (i) vulneración del derecho al juez ordinario predeterminado por la ley (art. 24.2 CE), en tanto el nombramiento de un juez de refuerzo y el acuerdo por el que se le atribuye la instrucción de la causa, quitándosela al anterior instructor, son contrarios al art. 216 bis 2, apartado 4 de la Ley Orgánica del Poder Judicial, y suponen la designación de un juez ad hoc; y (ii) vulneración de los derechos a la legalidad penal (art. 25.1 CE) y a la presunción de inocencia (art. 24.2 CE), por la subsunción irrazonable de la aprobación y elevación de un proyecto de ley al Parlamento o de la aprobación de una modificación presupuestaria en el tipo objetivo del delito de prevaricación (resolución arbitraria dictada en asunto administrativo) y por la falta de prueba del elemento subjetivo de la prevaricación (conocimiento de la ilegalidad del sistema de presupuestación).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justificar la especial trascendencia constitucional del recurso se alega: (i) respecto del derecho al juez ordinario predeterminado por la ley, que el Tribunal no ha tenido ocasión de pronunciarse sobre la admisibilidad de ceder a un juez de apoyo concreto la llevanza de una instrucción ya iniciada y atribuida al juez titular; (ii) respecto del derecho a la presunción de inocencia y del derecho a la legalidad penal, que se ve concernida la autonomía del poder legislativo, la naturaleza constitucional del proceso de iniciativa legislativa y, en definitiva, la correlación y equilibrio de los poderes en el marco de nuestra Constitución; (iii) que el asunto ha tenido una relevante y general repercusión social y política al condenar a los miembros del gobierno de la Junta de Andalucía por actuaciones en su labor política, legislativa y parlamentaria y que se han abierto o desglosado un número no inferior a 200 piezas por las ayudas concedidas, en cuya resolución puede reproducirse la argumentación de la sentencia del Tribunal Supremo, convirtiendo su interpretación en reiterada.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recurrente solicita que se pronuncie sentencia otorgando el amparo solicitado. Por otrosí digo solicita al Tribunal que acuerde la acumulación del recurso de amparo a todos los que se formulen contra la STS núm. 749/2022, de 13 de septiembre, al entender que la situación de todos los condenados y las pretensiones que se pueden formular son sustancialmente idénticas.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del Tribunal Constitucional el 11 de abril de 2023 la representación procesal de don Gaspar Zarrías Arévalo interpuso recurso de amparo contra (i) la sentencia núm. 490/2019, de 19 de noviembre, dictada por la Sección Primera de la Audiencia Provincial de Sevilla en el procedimiento abreviado núm. 133-2016, rollo 1965-2017; (ii) la sentencia de la Sala de lo Penal del Tribunal Supremo núm. 749/2022, de 13 de septiembre, que desestima el recurso de casación núm. 601-2020 formulado por el demandante de amparo frente a la anterior; y (iii) el auto del mismo órgano judicial de 16 de febrero de 2023, que inadmite el incidente de nulidad de actuaciones interpuesto frente a la citada sentencia desestimatoria.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Sala, que al amparo del art. 11.2 de la Ley Orgánica del Tribunal Constitucional (LOTC) ha decidido asumir la decisión sobre la admisibilidad del presente recurso, tras su examen liminar, que es el que corresponde a esta fase del procedimiento, aprecia que las vulneraciones de derechos fundamentales aducidas en la demanda no carecen prima facie de verosimilitud.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la Sala aprecia que concurre en el recurso una especial trascendencia (art. 50.1 LOTC): (i) porque el recurso plantea un problema o afecta a una faceta de un derecho fundamental sobre el que no hay doctrina de este Tribunal [STC 155/2009, de 25 de junio, FJ 2 a)], concretamente, en conexión con el derecho a la legalidad penal (art. 25.1 CE), la naturaleza jurídica y el control judicial que puede llevarse a cabo de las actuaciones prelegislativas encomendadas al Gobierno en la elaboración de los presupuestos, la relación de esta fase de iniciativa legislativa con el ejercicio de la potestad legislativa atribuida a la Cámara, así como el alcance de la fiscalización de los presupuestos, incluyendo las modificaciones presupuestarias; y (ii) porque el asunto trasciende del caso concreto debido a que plantea una cuestión jurídica de relevante y general repercusión social y tiene unas consecuencias políticas generales en el ámbito de las relaciones entre el Gobierno, el Parlamento y el Poder Judicial [STC 155/2009, FJ 2 g)].</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Avocar a la Sala la decisión de admisibilidad de este recurso de amparo.</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Admitir a trámite el recurso de amparo, apreciando que concurre en el mismo una especial trascendencia constitucional [art. 50.1 b) LOTC] porque el recurso plantea un problema o afecta a una faceta de un derecho fundamental sobre el que no hay doctrina de este tribunal [STC 155/2009, FJ 2 a)] y porque el asunto suscitado trasciende del caso concreto porque plantea una cuestión jurídica de relevante y general repercusión social y tiene unas consecuencias políticas generales [STC 155/2009, FJ 2 g)].</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3º En aplicación de lo dispuesto en el art. 51 LOTC, requerir a la Sección Primera de la Audiencia Provincial de Sevilla, a fin de que, en plazo que no exceda de diez días, remita certificación o fotocopia adverada de las actuaciones correspondientes al procedimiento abreviado núm. 133-2016, rollo núm. 1965-2017, así como emplazar a quienes hubieran sido parte en el procedimiento, excepto a la parte recurrente en amparo, para que en el plazo de diez días puedan comparecer, si lo desean, en el presente recurso. Requerir también, en el mismo sentido y con el mismo plazo, a la Sala de lo Penal del Tribunal Supremo para que remita certificación o fotocopia adverada de las actuaciones correspondientes al recurso de casación núm. 601-2020.</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4º Avocar al Pleno el conocimiento de este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junio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AD51A7" w:rsidP="008B1374" w:rsidRDefault="00AD51A7">
      <w:pPr>
        <w:rPr>
          <w:lang w:val="es-ES_tradnl"/>
        </w:rPr>
      </w:pPr>
    </w:p>
    <w:p w:rsidRPr="00C36767" w:rsidR="00AD51A7" w:rsidRDefault="008777C4">
      <w:pPr>
        <w:rPr/>
      </w:pPr>
      <w:r w:rsidRPr="&lt;w:rPr xmlns:w=&quot;http://schemas.openxmlformats.org/wordprocessingml/2006/main&quot;&gt;&lt;w:lang w:val=&quot;es-ES_tradnl&quot; /&gt;&lt;/w:rPr&gt;">
        <w:rPr/>
        <w:t xml:space="preserve">1. Voto particular conjunto que formulan los magistrados don César Tolosa Tribiño y don Enrique Arnaldo Alcubilla a los autos dictados en los recursos de amparo núm. 6971-2022, 7007-2022, 2119-2023, 2136-2023, 2239-2023, 2348-2023, 2360-2023, 2361-2023, 2391-2023, 2411-2023, 2485-2023 y 2552-2023</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el ejercicio de la facultad que nos confiere el art. 90.2 de la Ley Orgánica del Tribunal Constitucional, formulamos el presente voto particular. Consideramos, a diferencia de las resoluciones adoptadas por la Sala, que los recursos de amparo debieron ser inadmitidos a trámite por carecer de especial trascendencia constitucional [art. 50.1 b) LOTC].</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a) Los autos de la Sala de los que discrepamos aprecian dos motivos de especial trascendencia constitucional para acordar la admisión a trámite de los recursos de amparo. interpuestos por los recurrentes contra las sentencias condenatorias dictadas en la pieza principal de la causa judicial de los “ERE” de Andalucía (sentencia dictada por la Sección Primera de la Audiencia Provincial de Sevilla en rollo de sala núm. 1965-2017 y sentencia dictada por la Sala de lo Penal del Tribunal Supremo en recurso de casación núm. 601-2020). En primer lugar, que los recursos plantean problemas jurídicos que afectan a una faceta de un derecho fundamental sobre el que no hay doctrina constitucional. Además, que el asunto trasciende del caso concreto, debido a que plantea una cuestión jurídica de relevante y general repercusión social y que tiene unas consecuencias políticas generales. Ambos motivos se corresponden con dos de las causas que este tribunal enunció como supuestos en los que un recurso de amparo tiene especial trascendencia constitucional, en los apartados a) y g) del fundamento jurídico 2 de la STC 155/2009, de 25 de junio.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Disentimos de las razones que han llevado a la mayoría de la Sala Segunda de este tribunal a la admisión de estos recursos de amparo contra las sentencias condenatorias en el conocido como caso “ERE”. La queja nuclear que en estos recursos se plantea radica en la pretendida vulneración del derecho a la legalidad penal (art. 25.1 CE), cuestionando los recurrentes al abrigo de este derecho fundamental la interpretación que ha llevado a cabo en su sentencia la Sala Segunda del Tribunal Supremo, bien del art. 404 CP, al tipificar el delito de prevaricación, bien del art. 432 CP, al tipificar el delito de malversación, confirmando en casación la sentencia condenatoria dictada por la Audiencia Provincial de Sevilla.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La interpretación que deba darse a dichos preceptos del Código penal y su aplicación al caso constituye, sin embargo, una labor que, de conformidad con el art. 117.3 CE, compete exclusivamente a la jurisdicción ordinaria, en este supuesto, a la Audiencia Provincial de Sevilla y a la Sala de lo Penal del Tribunal Supremo. El Tribunal Constitucional ha señalado repetidamente que no tiene competencia para definir o interpretar los elementos objetivos y subjetivos del tipo penal, al tratarse de una cuestión de estricta legalidad ordinaria. En efecto, la función de interpretar y aplicar la legislación vigente, subsumiendo en las normas los hechos enjuiciados, corresponde en exclusiva a los jueces y tribunales, sin que pueda el Tribunal Constitucional sustituirles en dichas tareas ni determinar cuál de entre todas las interpretaciones posibles de la norma es la más correcta (entre otras muchas, SSTC 137/1997, de 21 de julio, FJ 7; 142/1999, de 22 de julio, FJ 4; 167/2001, de 16 de julio, FJ 3; 13/2003, de 28 de enero, FJ 3, y 51/2005, de 14 de marzo, FJ 2).</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b) En algunos de dichos recursos de amparo se plantean, con carácter subsidiario, quejas relativas a la vulneración de los derechos a la defensa, a la presunción de inocencia y a un proceso con todas las garantías, si bien sobre dichas cuestiones ya existe una consolidada jurisprudencia de este tribunal, por lo que no estaríamos ante un supuesto en el que se “plantee un problema o una faceta de un derecho fundamental susceptible de amparo sobre el que no haya doctrina del Tribunal Constitucional”, tratándose de un problema que afecta meramente a su aplicación en el caso concreto. De nuevo, por tanto, una tarea de exclusiva competencia de la jurisdicción ordinaria.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c) Por otro lado, la Sala ha decidido reconocer la especial trascendencia constitucional de los recursos de amparo también en atención a su relevancia social y a las consecuencias políticas generales, separándose del criterio mantenido en asuntos recientes en los que no hemos considerado suficiente para la admisión a trámite de un recurso ni la relevancia política ni la notoriedad pública del recurrente; y, tratándose de causas penales de corrupción, como en este caso, tampoco hemos estimado que la repercusión política o social que esas causas penales hubieran tenido dotase a los recursos de amparo de especial trascendencia constitucional.</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Así, en el año 2019 este tribunal inadmitió por falta de especial trascendencia constitucional el recurso de amparo interpuesto por el principal condenado en el conocido como el “caso Nóos” (recurso de amparo 5753-2018) y, con una evidente similitud con el asunto que nos ocupa, este tribunal inadmitió en el año 2021 todos los recursos de amparo interpuestos por las personas que habían sido condenadas en la conocida como “trama Gürtel”, también por falta de especial trascendencia constitucional (recursos de amparo 5630-2020, 5640-2020, 5817-2020, 5873-2020, 321-2021 y 833-2021).</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Asimismo cabe advertir que en el año 2020 inadmitimos los recursos de amparo interpuestos por los condenados en el denominado “caso de Las Teresitas” (recursos de amparo 3027-2019, 4373-2019 y 4389-2019), en los que se planteaba también, entre otras cuestiones, la vulneración del principio de legalidad penal por la indebida interpretación de los tipos penales relativos al delito de prevaricación (art. 404 CP) y al delito de malversación (art. 432 CP), por estimar como motivo de inadmisión que las cuestiones suscitadas carecían de especial trascendencia constitucional.</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d) En definitiva, no solo no concurren en los recursos de amparo admitidos en los autos de los que disentimos razones que los hagan merecedores de una resolución sobre el fondo por parte de este tribunal, sino que, además, la Sala con la decisión adoptada se ha apartado sin justificación alguna del criterio seguido en asuntos precedentes en los que no hemos admitido la especial trascendencia constitucional de recursos de amparo que afectaban también a complejas causas penales de corrupción que han tenido lugar en nuestro país y que han alcanzado amplia repercusión política y mediática.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Y en este sentido emitimos nuestro voto particular.</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Madrid, a siete de junio de dos mil veintitrés.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