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5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2552-2023, promovido por don José Antonio Viera Chacón, en relación con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17 de abril de 2023, la representación procesal de don José Antonio Viera Chacón interpuso recurso de amparo contra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relevantes para resolver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sentencia dictada en fecha 19 de noviembre de 2019 por la Sección Primera de la Audiencia Provincial de Sevilla, se condenó, en el marco de la denominada “pieza específica” del caso “ERE”, a diversos miembros del Gobierno y de la administración de la Junta de Andalucía —incluyendo desde presidentes de la comunidad a directores generales— por haber intervenido, a lo largo de casi diez años, en el diseño de un sistema ilegal de concesión de ayudas sociolaborales.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y sin perjuicio de la concreta participación que pudieron tener cada uno de los diferentes encausados/condenados y cuya extensión delimita los delitos por los que finalmente fueron sentenciados (hechos relatados en los folios 31 a 96 de la sentencia de instancia), la operativa imputada consiste en haber participado en la fase prelegislativa (bien sea en la fase de elaboración del anteproyecto de ley, bien en la aprobación del proyecto de ley) de tramitación de las leyes de presupuestos desde los años 2002 a 2009 y en su consiguiente elevación al Parlamento para su examen, enmienda y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ilegalidad de los proyectos de ley, anteproyectos de ley y modificaciones presupuestarias tiene su origen en la partida presupuestaria 22E, habitualmente utilizada para realizar transferencias en el marco de ayudas sociolaborales, que se encontraba (de conformidad con lo establecido en la Ley 5/1987 de 19 de julio, de la hacienda pública de la Comunidad Autónoma de Andalucía, —arts. 77, 81 y concordantes) sujeta a control previo de la Intervención General de la Junta de Andalucía y, por ende, a un seguimiento y control de fiscalización. Ante las dificultades surgidas en el año 2000 por los reparos presentados a diversos expedientes por la Intervención General, se procedió a una modificación presupuestaria a iniciativa de la Consejería de Empleo por la que, sin alterar el programa 22E, se modificó su clasificación incluyendo la cantidad en la partida presupuestaria 440.1.2 correspondiente a transferencias de financiación al Instituto de Fomento de Andalucía para que dicho instituto, bajo las directrices de la Consejería de Empleo, otorgara las ayudas sociolaborales sin el sometimiento al control previo de la administración. De esta manera se conseguía que los expedientes de gasto no fueran objeto de fiscalización en la consejería porque los fondos habían sido transferidos al Instituto de Fomento de Andalucía y, de otro, que en el Instituto de Fomento de Andalucía no pudiera llevarse a cabo esa fiscalización ya que el instituto estaba sujeto a un control financiero permanente de manera que solo se fiscalizaba el pago a posteriori.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llevó a que en el año 2000 el Consejo de Gobierno de Andalucía aprobara dos modificaciones presupuestarias siguiendo el criterio de presupuestación anteriormente señalado, y que a partir del 2001 los fondos recibidos por el Instituto de Fomento de Andalucía fueran movilizados al destinatario final mediante suscripción de convenios particulares con otras entidades. Desde el año 2002 hasta el 2009 se procedió a elaborar y aprobar los proyectos de ley de presupuestos en los que se incluía la partida “transferencias de financiación al Instituto de Fomento de Andalucía en materia de relaciones laborales” (partida destinada al equilibrio de las cuentas de pérdidas y ganancias de la citada empresa pública) en el nuevo programa 31L que sustituía al 22E y, salvo en 2003, se aprobaron además modificaciones presupuestarias para elevar el crédito de la partida 440. En virtud de ello, las ayudas sociolaborales (en cuantía cercana a 700 millones de euros) habrían sido otorgadas, entre otros defectos: a) sin expediente de concesión; b) sin publicidad; c) sin fiscalización previa; d) sin autorización; e) sin memoria explicativa; y f) sin acreditación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demandante de amparo fue condenado por haber participado en los hechos anteriores, en su calidad de consejero de Empleo y Desarrollo Tecnológico del Consejo de Gobierno de la Junta de Andalucía de 2000 a 2004, como autor de un delito de prevaricación en concurso medial con un delito de malversación agravada. La audiencia le impuso la pena de prisión de siete años y un día, con inhabilitación especial para el derecho de sufragio pasivo por tiempo de la condena, así como la pena de inhabilitación absoluta por tiempo de dieciocho años y un día, con privación definitiva de todos los honores, empleos y cargos públicos, aunque sean electivos, e incapacidad para obtener estos o cualesquiera otros honores, y la de ser elegido para cargo público por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por la representación procesal del demandante fue desestimado íntegramente por sentencia del Tribunal Supremo núm. 749/2022,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del Tribunal Supremo de 16 de febrero de 2023 se inadmitió el incidente de nulidad de actuaciones formulado por el recurrente frente a la sentencia del Tribunal Supremo que desestimó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como motivo de amparo, la vulneración por parte de la sentencia condenatoria dictada por la Sección Primera de la Audiencia Provincial de Sevilla del derecho a la presunción de inocencia del art. 24.2 CE y del derecho a la tutela judicial efectiva reconocido en el art. 24.1 CE, “porque el pronunciamiento condenatorio se basa en pruebas indiciarias que no cumplen los parámetros constitucionales, al no estar sustentada en hechos base acreditados mediante prueba directa, que conduzcan inexorablemente a un juicio de inferencia inexcusable condenatoria”. En dicha vulneración habría reincidido el Tribunal Supremo “con su pronunciamiento desestimatorio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especial trascendencia constitucional se alega, en primer lugar, que el órgano judicial pudiera haber incurrido en una negativa manifiesta del deber de acatamiento de la doctrina del Tribunal Constitucional [STC 155/2009, de 25 de junio, FJ 2 f)] en materia de prueba indiciaria. También se alega que el recurso puede dar ocasión al Tribunal para aclarar o cambiar su doctrina, como consecuencia de un proceso de reflexión interna [STC 155/2009, FJ 2 b)] en relación con los siguientes extremos: (i) “la relevancia o reproche penal susceptible de aplicación y calificación a los actos considerados no como administrativos, sino políticos o de gobierno en relación con los actos o actuaciones de órganos unipersonales o colegiados que en el ejercicio de sus competencias realizan propuestas de proyectos de aprobación de presupuestos de las administraciones públicas o de modificaciones presupuestarias de los mismos, así como en actos de ejercicio de competencia de leyes de gobierno relativos a disposiciones de gestión y gastos presupuestario”; (ii) “la extensión a los órganos unipersonales o unipersonales [sic] de gobierno de las consecuencias ilícitas penales causadas por los actos de gestión o disposición presupuestaria realizados por un órgano inferior competente legalmente, cuando de los mismos no ha tenido conocimiento directo o indirecto, ni ha existido ánimo de ningún tipo de beneficio particular sobre esos actos de gestión presupuestaria”; (iii) el “cumplimiento del principio de legalidad de los acuerdos o actos de órganos de gobierno competentes para la realización de actuaciones administrativas mediante convenios o acuerdos interadministrativos, dirigidas a agilizar soluciones económicas derivadas de la ejecución presupuestaria a solicitudes de los administrados para la obtención de subvenciones previstas legalmente”; y (iv) “sobre el derecho la facultad de un órgano judicial para publicar a la opinión pública sin vicio de parcialidad, un fallo judicial condenatorio de privación de derechos fundamentales de la persona sin previa notificación al condenado, de la plena fundamentación y motivación jurídica del mismo para su conocimiento previo en garantía del derecho de presunción de inocencia, y en su caso cambiando la doctrina para extenderla a la comunicación a los medios y sin extremos de relevancia antepuestos al derecho constitucional del condenado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interesa que se declare la vulneración de los derechos fundamentales aludidos y, en consecuencia, la nulidad de las resoluciones impugnadas y de todas las actuaciones posteriores “con retroacción de las mismas al dictado de una nueva sentencia respetuosa con [los] derechos fundamentales vulnerados por la Audiencia Provincial de Sevilla”. Asimismo, mediante otrosí digo, se interesa, al amparo de lo dispuesto en el art. 56.2 de la Ley Orgánica del Tribunal Constitucional (LOTC), la suspensión de la eficacia de la sentencia condenatoria hasta tanto recaiga una resolución definitiva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17 de abril de 2023, la representación procesal de don José Antonio Viera Chacón ha interpuesto recurso de amparo contra: (i) la sentencia núm. 490/2019, de 19 de noviembre, dictada por la Sección Primera de la Audiencia Provincial de Sevilla en el procedimiento abreviado núm. 133-2016, rollo núm. 1965-2017; (ii) la sentencia de la Sala de lo Penal del Tribunal Supremo núm. 749/2022, de 13 de septiembre, que desestima el recurso de casación núm. 601-2020 formulado por el demandante de amparo frente a la anterior; y (iii) el auto del mismo órgano judicial de 16 de febrero de 2023, que inadmite el incidente de nulidad de actuaciones interpuesto frente a la citada sentencia desestimatoria. Asimismo, por otrosí, ha interesado que se acuerde la suspensión de la ejecución de la sentencia impugnada en lo relativo a la pena de prisión conforme a lo dispuesto en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que al amparo del art. 11.2 LOTC ha decidido asumir la decisión sobre la admisibilidad del presente recurso, tras su examen liminar, que es el que corresponde a esta fase del procedimiento, aprecia que las vulneraciones de derechos fundamentales aducidas en la demanda no carecen prima facie de verosimilitud.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Sala aprecia que concurre en el recurso una especial trascendencia (art. 50.1 LOTC): (i) porque el recurso plantea un problema o afecta a una faceta de un derecho fundamental sobre el que no hay doctrina de este tribunal [STC 155/2009, FJ 2 a)], concretamente, en conexión con el derecho a la legalidad penal (art. 25.1 CE), la naturaleza jurídica y el control judicial que puede llevarse a cabo sobre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modificaciones presupuestarias; igualmente, en relación con el derecho a la presunción de inocencia (art. 24.2 CE), la posible proyección de la regla de tratamiento que excluye actuaciones de los funcionarios y los poderes públicos que traten como culpable a quien no ha sido legalmente declarado como tal a la actuación cuestionada en la demanda de publicar el fallo confirmatorio de una condena sin haber notificado ni dado a conocer el texto de la sentencia; y (ii) porque el asunto trasciende del caso concreto debido a que plantea una cuestión jurídica de relevante y general repercusión social y tiene unas consecuencias políticas generales en el ámbito de las relaciones entre el Gobierno, el Parlamento y el Poder Judicial [STC 155/2009, FJ 2 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Avocar a la Sala la decisión de admisibilidad de este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Admitir a trámite el recurso de amparo, apreciando que concurre en el mismo una especial trascendencia constitucional [art. 50.1 b)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En aplicación de lo dispuesto en el art. 51 LOTC, requerir atentamente en aplicación de lo dispuesto en el art. 51 LOTC, a la Sección Primera de la Audiencia Provincial de Sevilla, a fin de que, en plazo que no exceda de diez días, remita certificación o fotocopia adverada de las actuaciones correspondientes al procedimiento abreviado núm. 133-2016, rollo núm. 1965-2017, así como emplazar a quienes hubieran sido parte en el procedimiento, excepto a la parte recurrente en amparo, para que en el plazo de diez días puedan comparecer, si lo desean, en el presente recurso. Requerir también, en el mismo sentido y con el mismo plazo, a la Sala de lo Penal del Tribunal Supremo para que remita certificación o fotocopia adverada de las actuaciones correspondientes al recurso de casación núm. 601-2020.</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Formar pieza separada de suspensión y, en ella, conceder un plazo de tres días al Ministerio Fiscal y al solicitante de amparo para que efectúen alegaciones respecto a dicha petición.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5º Avocar al Pleno el conocimiento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conjunto que formulan los magistrados don César Tolosa Tribiño y don Enrique Arnaldo Alcubilla a los autos dictados en los recursos de amparo núm. 6971-2022, 7007-2022, 2119-2023, 2136-2023, 2239-2023, 2348-2023, 2360-2023, 2361-2023, 2391-2023, 2411-2023, 2485-2023 y 2552-2023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 90.2 de la Ley Orgánica del Tribunal Constitucional, formulamos el presente voto particular. Consideramos, a diferencia de las resoluciones adoptadas por la Sala, que los recursos de amparo debieron ser inadmitidos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Los autos de la Sala de los que discrepamos aprecian dos motivos de especial trascendencia constitucional para acordar la admisión a trámite de los recursos de amparo. interpuestos por los recurrentes contra las sentencias condenatorias dictadas en la pieza principal de la causa judicial de los “ERE” de Andalucía (sentencia dictada por la Sección Primera de la Audiencia Provincial de Sevilla en rollo de sala núm. 1965-2017 y sentencia dictada por la Sala de lo Penal del Tribunal Supremo en recurso de casación núm. 601-2020). En primer lugar, que los recursos plantean problemas jurídicos que afectan a una faceta de un derecho fundamental sobre el que no hay doctrina constitucional. Además, que el asunto trasciende del caso concreto, debido a que plantea una cuestión jurídica de relevante y general repercusión social y que tiene unas consecuencias políticas generales. Ambos motivos se corresponden con dos de las causas que este tribunal enunció como supuestos en los que un recurso de amparo tiene especial trascendencia constitucional, en los apartados a) y g) del fundamento jurídico 2 de la STC 155/2009, de 25 de junio.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Disentimos de las razones que han llevado a la mayoría de la Sala Segunda de este tribunal a la admisión de estos recursos de amparo contra las sentencias condenatorias en el conocido como caso “ERE”. La queja nuclear que en estos recursos se plantea radica en la pretendida vulneración del derecho a la legalidad penal (art. 25.1 CE), cuestionando los recurrentes al abrigo de este derecho fundamental la interpretación que ha llevado a cabo en su sentencia la Sala Segunda del Tribunal Supremo, bien del art. 404 CP, al tipificar el delito de prevaricación, bien del art. 432 CP, al tipificar el delito de malversación, confirmando en casación la sentencia condenatoria dictada por la Audiencia Provincial de Sevilla.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interpretación que deba darse a dichos preceptos del Código penal y su aplicación al caso constituye, sin embargo, una labor que, de conformidad con el art. 117.3 CE, compete exclusivamente a la jurisdicción ordinaria, en este supuesto, a la Audiencia Provincial de Sevilla y a la Sala de lo Penal del Tribunal Supremo. El Tribunal Constitucional ha señalado repetidamente que no tiene competencia para definir o interpretar los elementos objetivos y subjetivos del tipo penal, al tratarse de una cuestión de estricta legalidad ordinaria. En efecto, la función de interpretar y aplicar la legislación vigente, subsumiendo en las normas los hechos enjuiciados, corresponde en exclusiva a los jueces y tribunales, sin que pueda el Tribunal Constitucional sustituirles en dichas tareas ni determinar cuál de entre todas las interpretaciones posibles de la norma es la más correcta (entre otras muchas, SSTC 137/1997, de 21 de julio, FJ 7; 142/1999, de 22 de julio, FJ 4; 167/2001, de 16 de julio, FJ 3; 13/2003, de 28 de enero, FJ 3, y 51/2005, de 14 de marzo,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algunos de dichos recursos de amparo se plantean, con carácter subsidiario, quejas relativas a la vulneración de los derechos a la defensa, a la presunción de inocencia y a un proceso con todas las garantías, si bien sobre dichas cuestiones ya existe una consolidada jurisprudencia de este tribunal, por lo que no estaríamos ante un supuesto en el que se “plantee un problema o una faceta de un derecho fundamental susceptible de amparo sobre el que no haya doctrina del Tribunal Constitucional”, tratándose de un problema que afecta meramente a su aplicación en el caso concreto. De nuevo, por tanto, una tarea de exclusiva competencia de la jurisdicción ordinaria.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Por otro lado, la Sala ha decidido reconocer la especial trascendencia constitucional de los recursos de amparo también en atención a su relevancia social y a las consecuencias políticas generales, separándose del criterio mantenido en asuntos recientes en los que no hemos considerado suficiente para la admisión a trámite de un recurso ni la relevancia política ni la notoriedad pública del recurrente; y, tratándose de causas penales de corrupción, como en este caso, tampoco hemos estimado que la repercusión política o social que esas causas penales hubieran tenido dotase a los recursos de amparo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en el año 2019 este tribunal inadmitió por falta de especial trascendencia constitucional el recurso de amparo interpuesto por el principal condenado en el conocido como el “caso Nóos” (recurso de amparo 5753-2018) y, con una evidente similitud con el asunto que nos ocupa, este tribunal inadmitió en el año 2021 todos los recursos de amparo interpuestos por las personas que habían sido condenadas en la conocida como “trama Gürtel”, también por falta de especial trascendencia constitucional (recursos de amparo 5630-2020, 5640-2020, 5817-2020, 5873-2020, 321-2021 y 833-2021).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Asimismo cabe advertir que en el año 2020 inadmitimos los recursos de amparo interpuestos por los condenados en el denominado “caso de Las Teresitas” (recursos de amparo 3027-2019, 4373-2019 y 4389-2019), en los que se planteaba también, entre otras cuestiones, la vulneración del principio de legalidad penal por la indebida interpretación de los tipos penales relativos al delito de prevaricación (art. 404 CP) y al delito de malversación (art. 432 CP), por estimar como motivo de inadmisión que las cuestiones suscitadas carecían de especial trascendencia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En definitiva, no solo no concurren en los recursos de amparo admitidos en los autos de los que disentimos razones que los hagan merecedores de una resolución sobre el fondo por parte de este tribunal, sino que, además, la Sala con la decisión adoptada se ha apartado sin justificación alguna del criterio seguido en asuntos precedentes en los que no hemos admitido la especial trascendencia constitucional de recursos de amparo que afectaban también a complejas causas penales de corrupción que han tenido lugar en nuestro país y que han alcanzado amplia repercusión política y mediática.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emitimos nuestro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siete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