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332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y doña Laura Díez Bueso, en el recurso de amparo núm. 4397-2021, promovido por la mercantil Emplazamientos Radiales,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junio de 2021 la procuradora de los tribunales doña Raquel Zamora Martínez, en nombre y representación de la mercantil Emplazamientos Radiales, S.L., y bajo la dirección de letrado don Jaime Rodríguez Díez, interpuso demanda de amparo contra la desestimación presunta del recurso de alzada planteado el 2 de septiembre de 2018 ante el Consejería de Fomento, contra la resolución de 27 de julio de 2018, acordada por el director general de Telecomunicaciones y Nuevas Tecnologías, por la que se deniega la solicitud de convocatoria de concurso de licencias audiovisuales de radiodifusión sonora digital integradas en los bloques de frecuencias asignados a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providencia de inadmisión del recurso de casación, contra la sentencia núm. 11/2021, de 18 de enero, dictada por la Sala de lo Contencioso-Administrativo del Tribunal Superior de Justicia de Castilla-La Mancha que desestimó el recurso contencioso-administrativo núm. 664-2018, contra la resolución impugnada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4397-2021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