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7545-2022, promovido por doña Asunción Paloma Ruiz Díaz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Ana María Araúz de Robles Villalón, en nombre y representación de doña Asunción Paloma Ruiz Díaz y otros y bajo la dirección del letrado don Francisco Javier Araúz de Robles Dávila, interpuso demanda de amparo contra la providencia de 29 de septiembre de 2022 de la Sección Primera de la Sala de lo Contencioso-Administrativo del Tribunal Supremo en recuso de casación 8014-2021.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7545-2022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