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los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número 1750-2021, promovido por Movemos Madrid, S.L., representada por la procuradora de los tribunales doña Sonia Rivas Farpón y asistida por el abogado don Jaime Rodríguez Díez, contra la desestimación por silencio administrativo negativo de la solicitud de 7 de mayo de 2018 de convocatoria de concurso para la adjudicación de las licencias disponibles de comunicación audiovisual de radiodifusión sonora digital de ámbito local en la Comunidad Autónoma de Castilla y León. Ha comparecido la referida comunidad autónoma y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25 de marzo de 2021, la procuradora de los tribunales doña Sonia Rivas Farpón, actuando en nombre y representación de Movemos Madrid, S.L., bajo la defensa del letrado don Jaime Rodríguez Díez, interpuso demanda de amparo contra la desestimación presunta arriba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Movemos Madrid, S.L., interpuso recurso contencioso administrativo contra la desestimación por silencio administrativo negativo de su solicitud de 7 de mayo de 2018 instada ante la Consejería de Fomento y Medioambiente de la Junta de Castilla y León para la convocatoria de concurso para la adjudicación de las licencias disponibles de comunicación audiovisual de radiodifusión sonora digital de ámbito local en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Sala de lo Contencioso-Administrativo del Tribunal Superior de Justicia de Castilla y León, con sede en Valladolid, estimó el recurso interpuesto por sentencia de 20 de mayo de 2020 al concluir que la obligación de la administración de convocar las licencias de comunicación audiovisual que estén libres, vacantes o desiertas, sea la causa que sea, no puede quedar enervada por lo previsto en el art. 27.4 de la Ley general de la comunicación audiovisual (LGCA).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dicha sentencia la representación procesal de la Comunidad Autónoma de Castilla y León interpuso recurso de casación, que fue estimado por sentencia de la Sección Tercera de la Sala de lo Contencioso-Administrativo del Tribunal Supremo de 11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interés casacional advertido en el auto de admisión a trámite, la sentencia de casación expone la existencia de dos criterios jurisdiccionales distintos entre los diferentes tribunales superiores de justicia y distingue el caso que se le plantea, relativo a las circunstancias de aplicación y a los efectos que los plazos prevenidos en el art. 27.4 LGCA puedan tener sobre los planes técnicos y sobre la cobertura de las licencias vacantes, de otros examinados por 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Colige que nada hay en el art. 27 LGCA que pueda considerarse irrazonable o indebidamente restrictivo, en particular, al prever que el no aprovechamiento de espacios reservados al dominio público radioeléctrico para servicios de radiodifusión en un plazo concreto de tiempo tras la aprobación de la planificación correspondiente hace decaer dicha reserva. Tampoco considera que la aplicación del art. 27.4 LGCA incurra en prohibición de irretroactividad porque se proyecte sobre una planificación técnica aprobada con anterioridad a la entrada en vigor de la Ley general de la comunicación audiovisual, concluyendo que “de conformidad con lo dispuesto en el artículo 27.4 de la Ley general de comunicación audiovisual, en caso de transcurso de los plazos estipulados en dicho precepto tras la aprobación de un plan técnico nacional de un servicio de radio o televisión, sin que la administración haya solicitado la afectación al servicio público de radio o televisión de que se trate de la reserva de dominio prevista en el citado plan o se haya convocado concurso para el otorgamiento de licencias, y sin que ningún interesado haya solicitado dicha convocatoria, la reserva de dominio decaerá y será excluida de la planificación. En consecuencia y dados tales presupuestos, la administración no estaría ya obligada a la convocatoria de concurso a solicitud de cualquier interesado hasta que se efectúe una nueva reserva de dominio y se produzca la correspondiente afectación al servicio público de radio o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alegan las siguientes vulneraciones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que la negativa a convocar un concurso público por parte del Gobierno de la Comunidad Autónoma de Castilla y León amparándose en el transcurso de un plazo imputable a su propia inactividad y el consiguiente decaimiento de la planificación del espacio radioeléctrico ha imposibilitado el ejercicio de los derechos fundamentales a la libertad de información, comunicación y expresión, en relación con el art. 14 CE, en concreto, de su derecho a crear los medios de comunicación indispensables para el ejercicio del derecho a expresar y difundir libremente los pensamientos, ideas y opiniones mediante la palabra, el escrito o cualquier otro medio de reproducción [art. 20.1 a) CE] y a comunicar o recibir libremente información veraz por cualquier medio de difusión [art. 20.1 d) CE]. Entiende que prevalece el deber de convocar el concurso de adjudicación (art. 27.2 LGCA) sobre el eventual decaimiento de la reserva del espectro radioeléctrico (art. 27.4 LGCA) por lo que ha sido la inacción de la administración pública la causante de que no se haya aprovechado el espectro que el Estado ha otorgado a la comunidad autónoma, lo que invalida el acto recurrido por ser contrario a los derechos invocados. Alega que otras comunidades autónomas han procedido a efectuar los concursos de licencias más allá del plazo establecido y que la negativa a convocar los concursos de adjudicación de licencias vacantes es incompatible con la Directiva 2018/1972, de 11 de diciembre, por la que se establece el Código europeo de las comunicaciones electrónicas, por crear barreras de acceso al mercado e inutilizar el espectro radioeléctrico.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también que existe una patente contradicción entre las sentencias del Tribunal Supremo al diferenciar incorrectamente entre licencias de televisión digital y licencias de radiodifusión digital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fin, que la negativa a conceder una licencia de radiodifusión infringe el art. 10, apartado 1, del Convenio europeo de derechos humanos (CEDH) y cita las resoluciones del Tribunal Europeo de Derechos Humanos de 20 de octubre de 1997, asunto Radio ABC c. Austria; de 23 de noviembre de 1999, asunto Leveque c. Francia; de 7 de noviembre de 2000, asunto United Christian Broadcasters Ltd. c. Reino Unido; de 11 de octubre de 2007, asunto Glas Nadejda EOOD y Elenkov c. Bulgaria; de 17 de junio de 2008, asunto Meltex Ltd. y Movsessian c. Armenia, así como el dictamen del Comité de Derechos Humanos de Naciones Unidas, de 27 de octubre de 2016, en el caso Azagade c. Azerbaiyán.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vulnerado el derecho a la igualdad (art. 14 CE), al haberse convocado en otras comunidades autónomas concursos públicos de licencias de comunicación audiovisual. Mantiene que el art. 27.4 LGCA, al tener la consideración de normativa básica, debe aplicarse de forma similar en todo el territorio estatal y la dispar interpretación efectuada por las distintas comunidades autónomas, a juicio de la entidad recurrente, lesiona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2022, la Sección Cuarta del Tribunal Constitucional acordó admitir a trámite la demanda de amparo, al apreciar que concurría en la misma una especial trascendencia constitucional [art. 50.1 de la Ley Orgánica del Tribunal Constitucional (LOTC)] porque el recurso podía dar ocasión al Tribunal para aclarar o cambiar su doctrina, como consecuencia de un proceso de reflexión interna [STC 155/2009, de 25 de junio, FJ 2 b)] y el asunto suscitado trascendía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dar cumplimiento a lo dispuesto en el art. 51 LOTC y formar la correspondiente pieza separada de suspensión, que fue concluida por ATC 164/2022, de 28 de noviembre, en el que se acordó denegar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se tuvo por personada a la Comunidad Autónoma de Castilla y León. Y, a tenor de lo dispuesto en el art. 52 LOTC, se dio vista de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 La Comunidad Autónoma de Castilla y León, con la representación y asistencia de letrada de su servicio jurídico, presentó sus alegaciones mediante escrito registrado el 11 de enero de 2023, en el que rechaza que se hayan vulnerado los derechos invocados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mediante escrito registrado el 3 de febrero de 2023 en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en primer lugar, que se haya producido una vulneración del art. 14 CE, al no existir el término válido de comparación exigido para que se produzca la vulneración, pues no se han dictado las resoluciones por los mismos órganos, ni en el caso del reproche dirigido al Tribunal Supremo concurre la identidad de supuestos exigida.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asimismo, la vulneración del art. 20.1 a) y d) CE al existir una regulación normativa que establece el marco temporal de reserva del espacio radioeléctrico a los efectos de convocar los correspondientes concursos. Entiende que corresponde al legislador una mayor libertad de configuración normativa para disciplinar los soportes técnicos e instrumentos de comunicación, que la que posee al ordenar directamente los derechos fundamentales del art. 20.1 CE. De este modo las resoluciones administrativas y las sentencias que aplican la regulación establecida en este ámbito difícilmente pueden lesionar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las resoluciones del Tribunal Europeo de Derechos Humanos citadas no son aplicables por tratarse de decisiones de inadmisión o, en el caso de la STEDH de 20 de octubre de 1997, asunto Radio ABC c. Austria, porque toda la actividad se subordinaba a una concesión del legislador federal que no se produjo, situación que se mantuvo durante tres periodos de tiempo, supuesto distinto al contemplado en la regulación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21 de septiembre de 2023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desestimación por silencio administrativo negativo de la solicitud de 7 de mayo de 2018 de convocatoria de concurso para la adjudicación de las licencias disponibles de comunicación audiovisual de radiodifusión sonora digital de ámbito local en la Comunidad Autónoma de Castilla y León, vulnera los derechos fundamentales a la libertad de información, comunicación y expresión [art. 20.1 a) y d) CE], en relación con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Remisión a lo resuelto en la STC 89/2023, de 18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problema constitucional que se plantea en este proceso de amparo es coincidente con el resuelto en la STC 89/2023, de 18 de julio, que excluyó que la actuación administrativa impugnada, en cuanto denegó la convocatoria del concurso solicitado para la concesión de licencias de prestación de servicios audiovisuales, vulnerara los derechos a expresar y difundir libremente los pensamientos, ideas y opiniones mediante la palabra, el escrito o cualquier otro medio de reproducción [art. 20.1 a) CE] y a comunicar o recibir libremente información veraz por cualquier medio de difusión [art. 20.1 d) CE], en relación con el principio de igualdad (art. 14 CE), lo que determina que, por idénticas razones, proceda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Movemos Madrid,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amparo núm. 1750-2021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criterio reflejado en la sentencia a que se refiere el encabezamiento y, en ejercicio de la facultad que me confiere el art. 90.2 de la Ley Orgánica del Tribunal Constitucional, manifiesto mi discrepancia con la argumentación y fallo de la sentencia aprobada por la Sala. Por ello, me remito, en su totalidad, al voto particular que realicé a la STC 89/2023, de 18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veinticinco de septiembre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