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508-2021, promovido por la mercantil Emplazamientos Radiales, S.L., representada por la procuradora de los tribunales doña María Leceta Bilbao y asistida por el abogado don Jaime Rodríguez Díez, contra la orden del consejero de Cultura y Política Lingüística del Gobierno Vasco de 21 de enero de 2019, por la que se desestima el recurso de alzada interpuesto contra la resolución de la directora de Gabinete y Medios de Comunicación Social de 14 de Noviembre de 2018 desestimatoria de la solicitud de convocatoria de concurso público para el otorgamiento de las licencias de comunicación audiovisual de radiodifusión sonora digital terrestre en la Comunidad Autónoma del País Vasco. Ha comparecido la referida comunidad autónoma y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27 de enero de 2021, la procuradora de los tribunales doña María Leceta Bilbao, actuando en nombre y representación de Emplazamientos Radiales, S.L., bajo la defensa del letrado don Jaime Rodríguez Díez, interpuso demanda de amparo contra la orden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Emplazamientos Radiales, S.L., interpuso recurso contencioso administrativo contra la orden del consejero de Cultura y Política Lingüística del Gobierno Vasco de 21 de enero de 2019, por la que se desestima el recurso de alzada interpuesto contra la resolución de la directora de Gabinete y Medios de Comunicación Social de 14 de noviembre de 2018 desestimatoria de su solicitud de convocatoria de concurso público para el otorgamiento de las licencias de comunicación audiovisual de radiodifusión sonora digital terrestre en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del País Vasco desestimó el recurso interpuesto por sentencia de 24 de abril de 2020 (ECLI:ES:TSJPV:2020:1600) al concluir que declarada extinguida la planificación radioeléctrica no cabe exigir la convocatoria de las reservas de dominio público incluidas en la misma, sin que ello vulnere el carácter reglado que se confiere a la norma, el deber de convocar todas las licencias disponibles vacantes, el interés general o los derechos constitucionales a la libertad de expresión e información o a la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mercantil ahora recurrente en amparo interpuso recurso de casación, que fue inadmitido a trámite por providencia de la Sección Primera de la Sala de lo Contencioso-Administrativo del Tribunal Supremo de 21 de enero de 2021 por pérdida sobrevenida en el recurso de interés casacional objetivo para la formación de jurisprudencia a la vista de las SSTS de 25 y 26 de noviembre de 2020 (ECLI:ES:TS:2020:4171, ECLI:ES:TS:2020:4120 y ECLI:ES:TS:2020:4118) y de 14 de diciembre de 2020 (ECLI:ES:TS:2020:4355).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del País Vasco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2022, la Sección Segunda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13/2023, de 6 de febrero,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del País Vasco.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12 de enero de 2023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del País Vasco, con la representación y asistencia de letrada de su servicio jurídico, presentó sus alegaciones mediante escrito registrado el 16 de enero de 2023. Alega como causas de inadmisibilidad la falta de agotamiento de la vía judicial previa al no haberse interpuesto incidente de nulidad de actuaciones contra la providencia del Tribunal Supremo que inadmitió el recurso de casación, la carencia de especial trascendencia constitucional y la pérdida sobrevenida del objeto del recurso de amparo a causa de la derogación de la Ley general de la comunicación audiovisual. Interesa, subsidiariamente, su desestimación al rechazar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20 de enero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orden del consejero de Cultura y Política Lingüística del Gobierno Vasco de 21 de enero de 2019, por la que se desestima el recurso de alzada interpuesto contra la resolución de la directora de Gabinete y Medios de Comunicación Social de 14 de noviembre de 2018 desestimatoria de la solicitud de convocatoria de concurso público para el otorgamiento de las licencias de comunicación audiovisual de radiodifusión sonora digital terrestre en la Comunidad Autónoma del País Vasco,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falta de agotamiento de la vía judicial previa, justificación de la especial trascendencia constitucional y carencia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como se ha indicado en los antecedentes, la Comunidad Autónoma del País Vasco alega como causa de inadmisibilidad del recurso que la demanda interpuesta no ha agotado la vía judicial al no haber interpuesto incidente de nulidad de actuaciones contra la resolución del Tribunal Supremo que inadmitió el recurso de casación. Esta alegación no puede prosperar. En el presente caso, al encontrarnos ante un recurso de amparo interpuesto por la vía del art. 43 LOTC —las vulneraciones constitucionales en las que se fundamenta se imputan a las resoluciones administrativas y no a las judiciales—, a tenor de lo dispuesto en el art. 241.1 de la Ley Orgánica del Poder Judicial, es manifiesto que no procede interponer un incidente de nulidad de actuaciones para agotar la vía judicial y cumplir lo previsto en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aduce que el recurso ha de ser inadmitido por carecer de especial trascendencia constitucional. De acuerdo con la doctrina constitucional, corresponde únicamente al Tribunal apreciar en cada caso, en el momento de admitir a trámite el recurso de amparo, si este tiene especial trascendencia constitucional, de acuerdo con lo exigido por el art. 50.1 LOTC (así, SSTC 155/2020, de 4 de noviembre, FJ 2, o 43/2022, de 21 de marzo, FJ 2, y 13/2003, de 6 de marzo, FJ 2, entre otras muchas). En consecuencia, esta causa de inadmisión ha de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 puede tener acogida la pérdida de objeto del recurso de amparo que la representación de la comunidad autónoma atribuye a la derogación de la Ley 7/2010, de 31 de marzo, general de la comunicación audiovisual, por la nueva Ley 13/2022, de 7 de julio, general de comunicación audiovisual. Lo que se discute en este proceso constitucional es si la actuación administrativa en aplicación de la LGCA 2010 ha incurrido en la lesión de los derechos de comunicación e información reconocidos en el art. 20 CE, en relación con el art. 14 CE, que denuncia la demandante. Desde esa perspectiva, la modificación legal operada no priva de objeto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Emplazamientos Radiales,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Concepción Espejel Jorquera a la sentencia dictada en el recurso de amparo número 508-2021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mis compañeros, formulo voto particular concurrente respecto de la sentencia recaída en el presente recurso de amparo, conforme a los argumentos que ya tuve ocasión de exponer durante su deliberación en la Sala remitiéndome al voto particular que formulé a la STC 89/2023, de 18 de julio, a la que se remite la presente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