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828-2021, promovido por la mercantil Logondi Comunicación, S.L., representada por el procurador de los tribunales don José Carlos García Rodríguez y asistida por el abogado don Jaime Rodríguez Díez, contra la desestimación presunta, por parte de la Consejería de Empleo, Industria y Turismo del Gobierno del Principado de Asturias, de la solicitud de 8 de enero de 2018, de convocatoria de concurso público para el otorgamiento de licencias de comunicación audiovisual de radiodifusión sonora digital terrenal con cobertura local integradas en los bloques de frecuencias asignados a la citada comunidad autónoma. Ha comparecido la referida comunidad autónoma y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febrero de 2021, el procurador de los tribunales don José Carlos García Rodríguez, actuando en nombre y representación de Logondi Comunicación, S.L., bajo la defensa del letrado don Jaime Rodríguez Díez, interpuso demanda de amparo contra la desestimación presunta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Logondi Comunicación, S.L., interpuso recurso contencioso administrativo contra la desestimación presunta, por parte de la Consejería de Empleo, Industria y Turismo del Gobierno del Principado de Asturias, de su solicitud de 8 de enero de 2018, de convocatoria de concurso público para el otorgamiento de licencias de comunicación audiovisual de radiodifusión sonora digital terrenal con cobertura local integradas en los bloques de frecuencias asignados a la citada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del Principado de Asturias desestimó el recurso interpuesto por sentencia de 27 de diciembre de 2018 al concluir, con cita de la jurisprudencia del Tribunal Supremo, que declarada extinguida la planificación radioeléctrica no cabe exigir la convocatoria de las reservas de dominio público incluidas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mercantil ahora recurrente en amparo interpuso recurso de casación, que fue desestimado por sentencia de la Sección Tercera de la Sala de lo Contencioso-Administrativo del Tribunal Supremo de 20 de enero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interés casacional advertido en el auto de admisión a trámite, la sentencia de casación expone la existencia de dos criterios jurisdiccionales distintos entre los diferentes tribunales superiores de justicia y distingue el caso que se le plantea, relativo a las circunstancias de aplicación y a los efectos que los plazos prevenidos en el art. 27.4 de la Ley general de la comunicación audiovisual (LGCA) puedan tener sobre los planes técnicos y sobre la cobertura de las licencias vacantes, de otros examinados por 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que nada hay en el art. 27 LGCA que pueda considerarse irrazonable o indebidamente restrictivo, en particular, al prever que el no aprovechamiento de espacios reservados al dominio público radioeléctrico para servicios de radiodifusión en un plazo concreto de tiempo tras la aprobación de la planificación correspondiente hace decaer dicha reserva. Tampoco considera que la aplicación del art. 27.4 LGCA incurra en prohibición de irretroactividad porque se proyecte sobre una planificación técnica aprobada con anterioridad a la entrada en vigor de la Ley general de la comunicación audiovisual, concluyendo que “el artículo 27.4 de la Ley 7/2010, de 31 de marzo, general de comunicación audiovisual debe interpretarse en el sentido de que el transcurso de los plazos estipulados en dicha disposición,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del Principado de Asturias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Primera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16/2023, de 6 de febrero,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personado al Principado de Asturias.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mediante escrito registrado el 18 de noviembre de 2022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22 de diciembre de 2022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Principado de Asturias, con la representación y asistencia de letrada de su servicio jurídico, presentó sus alegaciones mediante escrito registrado el 23 de diciembre de 2022, interesando la inadmisión del recurso de amparo por pérdida sobrevenida de su objeto a causa de la derogación de la Ley general de la comunicación audiovisual y, subsidiariamente, su desestimación al rechazar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2023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desestimación presunta, por parte de la Consejería de Empleo, Industria y Turismo del Gobierno del Principado de Asturias, de la solicitud de 8 de enero de 2018, de convocatoria de concurso público para el otorgamiento de licencias de comunicación audiovisual de radiodifusión sonora digital terrenal con cobertura local integradas en los bloques de frecuencias asignados a la citada comunidad autónoma,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 carencia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tener acogida la pérdida de objeto del recurso de amparo que la representación de la comunidad autónoma atribuye a la derogación de la Ley 7/2010, de 31 de marzo, general de la comunicación audiovisual, por la nueva Ley 13/2022, de 7 de julio, general de comunicación audiovisual. Lo que se discute en este proceso constitucional es si la actuación administrativa en aplicación de la LGCA 2010 ha incurrido en la lesión de los derechos de comunicación e información reconocidos en el art. 20 CE, en relación con el art. 14 CE, que denuncia la demandante. Desde esa perspectiva, la modificación legal operada no priva de objeto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Logondi Comunicación,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Concepción Espejel Jorquera a la sentencia dictada en el recurso de amparo número 828-2021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respeto a la opinión de mis compañeros, formulo voto particular concurrente respecto de la sentencia recaída en el presente recurso de amparo, conforme a los argumentos que ya tuve ocasión de exponer durante su deliberación en la Sala remitiéndome al voto particular que formulé a la STC 89/2023, de 18 de julio, a la que se remite la presente resolución. 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