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1754-2021, promovido por la Asociación Emplazamientos y Comunicación Nueva Esperanza, representada por la procuradora de los tribunales doña Sonia Rivas Farpón y asistida por el abogado don Jaime Rodríguez Díez, contra la desestimación presunta por la Consejería de Fomento y Medio Ambiente de la Junta de Castilla y León de la solicitud de 10 de julio de 2018 de convocatoria de concurso público para el otorgamiento de licencias de comunicación audiovisual de radiodifusión sonora digital con cobertura local integradas en los bloques de frecuencia asignados a la Comunidad Autónoma de Castilla y León. Ha comparecido la referida comunidad autónoma y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marzo de 2021, la procuradora de los tribunales doña Sonia Rivas Farpón, actuando en nombre y representación de la Asociación Emplazamientos y Comunicación Nueva Esperanza, bajo la defensa del letrado don Jaime Rodríguez Díez, interpuso demanda de amparo contra la desestimación presunta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Emplazamientos y Comunicación Nueva Esperanza interpuso recurso contencioso administrativo contra la desestimación presunta por la Consejería de Fomento y Medio Ambiente de la Junta de Castilla y León de su solicitud de 10 de julio de 2018 de convocatoria de concurso público para el otorgamiento de licencias de comunicación audiovisual de radiodifusión sonora digital con cobertura local integradas en los bloques de frecuencia asignados a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 Castilla y León, con sede en Valladolid, estimó el recurso interpuesto por sentencia de 22 de mayo de 2020 al concluir que la obligación de la administración de convocar las licencias de comunicación audiovisual que estén libres, vacantes o desiertas, sea la causa que sea, no puede quedar enervada por lo previsto en el art. 27.4 de la Ley general de la comunicación audiovisual (LGCA).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Comunidad Autónoma de Castilla y León interpuso recurso de casación, que fue estimado por sentencia de la Sección Tercera de la Sala de lo Contencioso-Administrativo del Tribunal Supremo de 1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interés casacional advertido en el auto de admisión a trámite, la sentencia de casación expone la existencia de dos criterios jurisdiccionales distintos entre los diferentes tribunales superiores de justicia y distingue el caso que se le plantea, relativo a las circunstancias de aplicación y a los efectos que los plazos prevenidos en el art. 27.4 LGCA puedan tener sobre los planes técnicos y sobre la cobertura de las licencias vacantes, de otros examinados por el propio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Colige que nada hay en el art. 27 LGCA que pueda considerarse irrazonable o indebidamente restrictivo, en particular, al prever que el no aprovechamiento de espacios reservados al dominio público radioeléctrico para servicios de radiodifusión en un plazo concreto de tiempo tras la aprobación de la planificación correspondiente hace decaer dicha reserva. Tampoco considera que la aplicación del art. 27.4 LGCA incurra en prohibición de irretroactividad porque se proyecte sobre una planificación técnica aprobada con anterioridad a la entrada en vigor de la Ley general de la comunicación audiovisual, concluyendo que “de conformidad con lo dispuesto en el artículo 27.4 de la Ley general de comunicación audiovisual, en caso de transcurso de los plazos estipulados en dicho precepto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decaerá y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Castilla y León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procedido a efectuar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2022, la Sección Tercera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165/2022, de 28 de noviembre,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Castilla y León.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Comunidad Autónoma de Castilla y León, con la representación y asistencia de letrada de su servicio jurídico, presentó sus alegaciones mediante escrito registrado el 13 de enero de 2023, en el que rechaza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3 de febrero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septiembre de 2023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desestimación presunta por la Consejería de Fomento y Medio Ambiente de la Junta de Castilla y León de la solicitud de 10 de julio de 2018 de convocatoria de concurso público para el otorgamiento de licencias de comunicación audiovisual de radiodifusión sonora digital con cobertura local integradas en los bloques de frecuencia asignados a la Comunidad Autónoma de Castilla y León,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Asociación Emplazamientos y Comunicación Nueva Esperanza.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1754-2021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y, en ejercicio de la facultad que me confiere el art. 90.2 de la Ley Orgánica del Tribunal Constitucional, manifiesto mi discrepancia con la argumentación y fallo de la sentencia aprobada por la Sala. Por ello, me remito, en su totalidad, al voto particular que realicé a la STC 89/2023, de 18 de julio. 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