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Ramón Sáez Valcárcel y don Enrique Arnaldo Alcubilla, en el recurso de amparo núm. 8550-2022, promovido por doña María Encarnación Zalabardo Leiv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diciembre de 2022, el procurador de los tribunales don José Ramón García García, en nombre y representación de doña María Encarnación Zalabardo Leiva, interpuso demanda de amparo que fue turnada a la Sección Cuarta de este tribunal para resolver sobre su admisión a trámite con el núm. 855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1 de septiembre de 2023, la magistrada doña María Luisa Balaguer Callejón comunicó a los efectos oportunos, su voluntad de abstenerse en el presente recurso de amparo y todas sus incidencias, por entender que concurría la causa establecida en el artículo 219.13 de la Ley Orgánica del Poder Judicial (LOPJ), supletoria de la Ley Orgánica del Tribunal Constitucional (LOTC) (art. 80), toda vez que intervino en la adopción del dictamen núm. 804/2015, de 2 de diciembre, del Consejo Consultivo de Andalucía, en su condición de consej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ña María Luisa Balaguer Callejón, magistrada de este tribunal, en virtud de lo previsto en los arts. 80 LOTC y 221.4 LOPJ, se estima justificada la causa de abstención formulada, puesto que la mencionada magistrada intervino, en calidad de consejera del Consejo Consultivo de Andalucía, en la adopción del dictamen núm. 804/2015 emitido por dicho órgano, lo que puede integrarse en la causa del art.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amparo núm. 8550-2022,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