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26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2361-2023, promovido por don Jesús María Rodríguez Román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2023 la representación procesal de don Jesús María Rodríguez Román interpuso recurso de amparo contra: (i) la sentencia núm. 490/2019, de 19 de noviembre, dictada por la Sección Primera de la Audiencia Provincial de Sevilla en el procedimiento abreviado núm. 133-2016, rollo núm. 1965-2017, que le condenó como autor de un delito de prevaricación en concurso medial con un delito de malversación agravada a la pena de prisión de seis años y dos días, con inhabilitación especial para el derecho de sufragio pasivo por tiempo de la condena, así como a la pena de inhabilitación absoluta por tiempo de quince años y dos días, con privación definitiva de todos los honores, empleos y cargos públicos, aunque sean electivos, e incapacidad para obtener estos o cualesquiera otros honores; (ii) la sentencia de la Sala de lo Penal del Tribunal Supremo núm. 749/2022, de 13 de septiembre, que desestima el recurso de casación formulado por el demandante de amparo frente a la anterior (recurso de casación núm. 601-2020);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alegan, como motivos de amparo, las siguientes vulneraciones de derechos fundamentales: (i) vulneración del derecho a la tutela judicial efectiva [arts. 24.1 y 6.1 del Convenio europeo de derechos humanos (CEDH)], a un proceso público con todas las garantías incluyendo la presunción de inocencia y vulneración del principio de legalidad penal (arts. 25 y 7 CEDH), en cuanto la condena por el delito de malversación carece de prueba de cargo suficiente sobre el elemento subjetivo (dolo eventual) y se funda en indicios que no son unívocos, ni concluyentes, así como en una inferencia demasiado abierta e indeterminada, cuya argumentación no puede considerarse lógica ni coherente, carente de sustrato probatorio y que implica un nuevo juicio de tipicidad, con base en un juicio de culpabilidad que parte de una presunción de participación, creando una especie de “dolo omnicomprensivo” que abarca los hechos calificados como prevaricación y malversación, sin que la sentencia de instancia hubiera realizado previamente un verdadero juicio de autoría; (ii) del derecho a la tutela judicial efectiva en su vertiente a la intangibilidad de las resoluciones judiciales, debido a que, a pesar de que la Audiencia Provincial de Sevilla excluyó las ayudas individuales del objeto de enjuiciamiento, el Tribunal Supremo, incurriendo en una reformatio in peius prohibida por la Constitución, las considera el soporte del delito de malversación; y (iii) del derecho a la legalidad penal (art. 25.1 CE), porque los órganos judiciales han llevado a cabo una interpretación extensiva y analógica in malam partem del elemento típico “resolución en asunto administrativo” del art. 404 del Código penal (CP), al considerar como “resolución en asunto administrativo” los acuerdos adoptados sucesivamente por el Consejo de Gobierno de la Junta de Andalucía por los que se aprobaron los anteproyectos de ley de presupuestos de la comunidad autónoma y se remitieron como proyectos de ley al Parlamento de Andalucía; y, en segundo lugar, porque los órganos judiciales habrían llevado a cabo una interpretación extensiva y analógica in malam partem del elemento típico “resolución en asunto administrativo” del art. 404 CP, al considerar como “resolución en asunto administrativo” los acuerdos adoptados por el Consejo de Gobierno de la Junta de Andalucía, relativos a determinadas modificaciones presupuestarias.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de conformidad con lo previsto en el art. 56.2 de la Ley Orgánica del Tribunal Constitucional (LOTC), se suspenda la ejecución de la sentencia condenatoria —únicamente de la pena privativa de libertad— argumentando que: (i) la duración de la pena de prisión no puede ser el único criterio a tener en cuenta para acceder o no a la suspensión; (ii) la sentencia dictada por el Tribunal Supremo en casación no lo ha sido por unanimidad; (iii) la suspensión de la pena privativa de libertad no supondrá en este caso una afectación al interés general; (iv) no existe riesgo de fuga; y (v) la pena impuesta comporta graves perjuicios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ATC 292/2023, de 5 de junio, de conformidad con el art. 11.2 LOTC, avocó para sí la decisión de admisión a trámite del presente recurso de amparo y acordó su procedencia, apreciando que concurre en el mismo especial trascendencia constitucional (art. 50.1 LOTC), porque el recurso plantea un problema o afecta a una faceta de un derecho fundamental sobre el que no hay doctrina de este tribunal [STC 155/2009, de 25 de junio, FJ 2 a)] y porque el asunto suscitado trasciende del caso concreto ya que plantea una cuestión jurídica de relevante y general repercusión social y tiene unas consecuencias políticas generales [STC 155/2009, FJ 2 g)]. Además, en la misma resolución se decidió la formación de pieza separada de suspensión, y, en ella, conceder un plazo de tres días al Ministerio Fiscal y al solicitante de amparo para que efectuaran alegaciones respecto a dicha petición. Se acordó, asimismo, proponer la avocación al Pleno del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en su reunión de 20 de junio de 2023, acordó recabar para sí el conocimiento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14 de junio de 2023. Comienza su escrito con una alegación previa referida a los antecedentes procesales en los que afirma que, tras ser denegada por los órganos judiciales la suspensión de la ejecución del fallo de la sentencia condenatoria, el recurrente en amparo ingresó voluntariamente en prisión el día 2 de enero de 2023. Por lo que se refiere al fondo, el escrito contiene una única alegación en la que se pone de relieve que: (i) el derecho a la libertad, reconocido no solo en nuestra Constitución, sino también en la Declaración universal de derechos humanos, en el Convenio europeo de derechos humanos, en el Pacto internacional de derechos civiles y políticos y en la Carta de derechos fundamentales de la Unión Europea, constituye una de las referencias cruciales del constitucionalismo, lo que se traduce en su carácter preponderante; (ii) aunque, según la doctrina constitucional, la regla general es la no suspensión cuando las penas privativas de libertad son superiores a cinco años, existen excepciones como la resuelta en el ATC 112/1998, de 18 de mayo; (iii) la suspensión en este caso no llevaría aparejada una perturbación del interés general ya que afecta a personas perfectamente insertas en la sociedad y en las que no existe riesgo de fuga. En el caso del señor Rodríguez Román, su entrada en prisión con el fin de dar cumplimiento a la sentencia condenatoria, fue retransmitida en directo, por lo que se ha dado cumplimiento al interés de prevención general; (iv) la verosimilitud de la lesión, reconocida ya por el Tribunal Constitucional en el auto por el que se admitió el recurso de amparo, así como los dos votos particulares que se formularon a la sentencia dictada en casación, ponen de relieve la posibilidad de que las resoluciones judiciales hayan incurrido en lesión de derechos fundamentales; y (v) las circunstancias personales del señor Rodríguez Román, en especial las familiares y las que afectan a su salud, traen consigo que el cumplimiento de la pena de prisión tenga efectos inhumanos.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30 de junio de 2023, interesó que se denegara la petición del recurrente. Después de recordar la doctrina constitucional sobre las medidas cautelares, considera que su aplicación al caso concreto debe llevar a denegar la suspensión solicitada debido a que: (i) la pena impuesta es de carácter grave y excede con creces de la frontera de los cinco años de prisión que marca la doctrina constitucional para atender la solicitud de suspensión; (ii) no concurren los supuestos excepcionales de suspensión de penas superiores a cinco años de prisión; (iii) la apariencia de buen derecho, alegada por el recurrente para avalar la suspensión, no es un criterio a tener en cuenta en la pieza de suspensión, pues ello supondría anticipar el enjuiciamiento del fondo del asunto; (iv) el que no exista riesgo de fuga no es un criterio suficiente por sí solo para acceder a la suspensión; y (v) al contrario de lo sostenido por el recurrente, la perturbación del interés general es mayor debido a que la condena lo es por delitos que protegen bienes jurídicos supraindividuales.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Partido Popular, a la que se ha tenido por personada y parte en la pieza principal por diligencia de ordenación de 27 de julio de 2023 del secretario de justicia del Pleno, presentó alegaciones en esta pieza separada el 1 de septiembre de 2023 en las que solicita la desestimación de las solicitudes de suspensión cautelar de las penas de prisión deducidas en sus recursos de amparo por los condenados en la causa antecedente, cuando se trate de penas de duración superior a los cinco años, conforme al criterio asentado en la doctrina constitucional (AATC 95/2019, de 23 de julio, FJ 2; 94/2020, de 10 de septiembre; 100/2022, de 16 de junio, y 130/2022, de 10 de octubre) de ponderar el interés general que se vería afectado por la medida cautelar en función de la gravedad de la pena concretamente impuesta, según exceda o no dicho límite temporal, salvo concurrencia de circunstancias excepcionales, que la parte entiende que no concurren en ninguno de ellos.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determinar la procedencia de acordar la suspensión de las resoluciones judiciales impugnadas en el único extremo solicitado por el recurrente de la pena privativa de libertad de seis años y dos días que le fue impuesta como autor de un delito de prevaricación en concurso medial con un delito de malversación agravada.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tras subrayar el carácter preponderante del derecho de libertad, alega que, de no suspenderse la ejecución de la pena de prisión, se le causarían perjuicios irreparables a él y a su familia que considera de carácter inhumano. Afirma que acceder al otorgamiento de la medida cautelar no supondría ninguna perturbación grave de un interés constitucionalmente protegido, toda vez que no hay riesgo de fuga y existe además apariencia de lesión de los derechos fundamentales invocados en la demanda de amparo. El hecho de que la condena privativa de libertad sea superior a cinco años, no supone un óbice para acceder a la suspensión ya que existen supuestos excepcionales en los que esta medida se ha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que se deniegue la medida cautelar debido a que no concurre ninguna circunstancia que permita, de forma excepcional, suspender una pena de prisión superior a cinco años. El Partido Popular también ha interesado la desestimación de la pretensión cautelar formulada con apoyo en análogos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condenas privativas de libertad son uno de los casos en los que este tribunal entiende procedente acordar la suspensión de su ejecución habida cuenta de que “la libertad constituye un derecho cuya naturaleza convierte el perjuicio irrogado en irreparable, en caso de estimarse el amparo una vez cumplida parcial o totalmente la pena” (ATC 93/2018, de 17 de septiembre, FJ 1, y los autos allí indicados). La jurisprudencia constitucional, en relación con la suspensión de las penas privativas de libertad, ha venido utilizando como criterio de ponderación prioritario el de gravedad de la pena, aplicando de forma reiterada como directriz inicial la de que la pena sea superior a los cinco años de prisión, por ser la que sirve al legislador penal para diferenciar entre las penas graves y las menos graves. 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supuesto que aquí se examina conduce a denegar la suspensión de la pena privativa de libertad impuesta al recurrente dada su duración, de seis años y dos días, que es muy superior a la que este tribunal ha venido considerando como límite a partir del cual no resulta, en principio, procedente la adopción de la medida cautelar de suspensión y sin que concurran alguno de los supuestos excepcionales de suspensión de penas superiores a cinco años de prisión. Junto a la gravedad de la pena, hay que atender también a la gravedad y trascendencia social de los hechos enjuiciados, en tanto que el recurrente fue condenado por delitos continuados contra la administración pública cometidos a largo de un dilatado período de tiempo, afectando, como afirma el fiscal, a bienes jurídicos supraindividuales.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resto de los motivos aducidos por el recurrente para interesar la suspensión podrían justificar la adopción de la medida cautelar. Resulta patente que la imposición de una pena privativa de libertad de seis años y dos días no supone, en sí misma considerada, un trato inhumano. Asimismo y por lo que se refiere a la invocada apariencia de lesión de derechos fundamentales por las resoluciones judiciales impugnadas, debe recordarse que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130/2022, de 10 de octubre, FJ 4, 103/2023, de 6 de marzo, FJ 4, con cita del ATC 55/2018, de 22 de mayo,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alegada inexistencia del riesgo de fuga es una “condición necesaria para que proceda la suspensión del cumplimiento de las [penas] privativas de libertad, pero no suficiente por sí sola, pues conforme a la doctrina establecida por este tribunal también deben concurrir los restantes requisitos en ella establecidos” (ATC 60/2020, de 17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en definitiva, ante una pena de prisión de duración netamente superior a los cinco años, sin que las razones alegadas por el demandante hagan desaparecer el cualificado interés general que, en un caso como este, presenta la ejecución de la resolución condenatoria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en el recurso de amparo 2361-2023, promovido por don Jesús María Rodríguez Román en causa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