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las magistradas doña Concepción Espejel Jorquera, presidenta, y doña María Luisa Segoviano Astaburuaga en el recurso de amparo núm. 2212-2023, promovido por don Alberto García González, contra la sentencia 19/2023, de 13 de marzo,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2212-2023 se impugna la sentencia 19/2023, de 13 de marzo, dictada por la Sala de lo Militar del Tribunal Supremo contra la sentencia dictada por el Tribunal Militar Territorial Cuarto, de 17 de marzo de 2022, sumario 42-03 por la que se condenó a don Alberto García González como autor de un delito consumado de revelación de secretos e informaciones relativas a la seguridad y defensa 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23 de octubre de 2023, el presidente don Cándido Conde-Pumpido Tourón, presidente de la Sección Primera del Tribunal Constitucional, comunicó a los efectos oportunos que se abstenía de intervenir en el recurso de amparo antes indicado, de conformidad con el art. 80 de la Ley Orgánica del Tribunal Constitucional,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presidente de esta sección primera, en el recurso de amparo núm. 2212-2023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