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11 de diciembre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63-2022, promovido por la mercantil Banco Santander, S.A., representada por el procurador de los tribunales don Eduardo Codes Feijóo y bajo la dirección del letrado don Manuel Vélez Fraga, contra la sentencia 1385/2021 de la Sección Tercera de la Sala de lo Contencioso-Administrativo del Tribunal Supremo, de 25 de noviembre (recurso ordinario núm. 345-2020), que desestimó el recurso contencioso-administrativo interpuesto por dicha entidad contra los acuerdos del Consejo de Ministros de 24 de mayo de 2019 y de 29 de septiembre de 2020. Han sido parte Banco Santander, S.A., y el abogado del Estado. Ha intervenido el Ministerio Fiscal.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enero de 2022, la entidad mercantil Banco Santander, S.A., interpuso un recurso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Servicio Ejecutivo de la Comisión de Prevención del Blanqueo de Capitales e Infracciones Monetarias (en adelante, SEPBLAC) realizó una inspección al Banco Popular, S.A., para verificar el cumplimiento de sus obligaciones de prevención del blanqueo de capitales. Las conclusiones de la inspección se recogieron en un informe de 26 de octubre de 2017, del que se derivaban ciertas deficiencias en la comunicación al SEPBLAC de operaciones sospechosas de blanqueo. Con base en dicho informe, el 8 de mayo de 2018 se incoó un expediente sancionador al Banco Popular,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6 de junio de 2017 el Banco Central Europeo había comunicado que consideraba inviable al Banco Popular, S.A., lo que dio lugar a la “resolución” de la entidad por el procedimiento previsto en el Reglamento (UE) 806/2014, del Parlamento Europeo y del Consejo, de 15 de julio de 2014, por el que se establecen normas uniformes y un procedimiento uniforme para la resolución de entidades de crédito y de determinadas empresas de servicios de inversión en el marco de un mecanismo único de resolución y un fondo único de resolución y se modifica el Reglamento (UE) 1093/2010 [en lo que sigue, Reglamento (UE) 806/2014].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resultas de dicho procedimiento, todas las acciones de Banco Popular, S.A., se transfirieron a Banco Santander, S.A., que, posteriormente, absorbió a aquella entidad. El 15 de octubre de 2018 la absorción se inscribió en el registro de entidades de crédito del Banco de España y el 28 de abril de 2019 en el Registro Mercantil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Terminada la instrucción del procedimiento sancionador, el 24 de mayo de 2019 el Consejo de Ministros impuso a Banco Santander, S.A., como sucesor de Banco Popular, S.A., una sanción de 1 056 000 € por la comisión de una infracción muy grave del art. 51.1 a) de la Ley 10/2010, de 28 de abril, de prevención del blanqueo de capitales y de la financiación del terrorismo (en adelante, LPBC) [primer acuerdo impugnado]. La conducta infractora fue no comunicar al SEPBLAC determinadas operaciones que los empleados de la entidad habían identificado como sospechosas de blanqueo.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previas a la imposición de la sanción Banco Santander, S.A., argumentó que no cabía responsabilizarle de los actos previos a la absorción imputables a Banco Popular,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sancionador invoca la STS de 16 de diciembre de 2015 (recurso de casación núm. 1973-2014), según la cual el criterio que justifica la transmisión es la “permanencia de una entidad económica y empresarial o, dicho de otro modo, la identidad sustancial entre las empresas sucesivas. La modulación de los principios de culpabilidad y responsabilidad dependerá de que se constate una quiebra parcial de continuidad económica y empresarial entre las empresas sucesivas”. Añade que “el cambio en el comportamiento de la empresa, tras la adquisición de la anterior, sin duda tiene relevancia como elemento de modulación de su responsabilidad que ha de ser valorada en tanto que circunstancia atenuante de la misma por la actuación anterior —como efectivamente lo ha sido— pero ello no significa que la empresa no haya incurrido en su etapa anterior en las conductas anticompetitivas [en el caso resuelto por dicha sentencia] sancionadas”.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Ministros cita, en apoyo de la transmisión de la sanción, el art. 55 LPBC, “exigibilidad de la responsabilidad administrativa”,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responsabilidad administrativa por infracción de la presente ley será exigible aun cuando con posterioridad al incumplimiento el sujeto obligado hubiera cesado en su actividad o hubiera sido revocada su autorización administrativa para operar. En el caso de sociedades disueltas, los antiguos socios responderán solidariamente de las sanciones administrativas pecuniarias impuestas hasta el límite de lo que hubieran recibido como cuota de liquidación, sin perjuicio de la responsabilidad de los directivos, administradores o liquidadores”.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Banco Santander, S.A., planteó un recurso de reposición que fue desestimado por acuerdo de 29 de septiembre de 2020 [segundo acuerdo impugnado]. A continuación, interpuso un recurso contencioso-administrativo ante la Sala de lo Contencioso-Administrativo del Tribunal Supremo en el que reiteraba que era improcedente sancionarle por conductas del antiguo Banco Popular, S.A., pues los hechos acaecieron en los años 2013 a 2015 y Banco Santander, S.A., ni intervino ni pudo intervenir en ellos. Alegaba que la jurisprudencia exige la existencia de vínculos jurídicos económicos u organizativos para la válida transmisión de la responsabilidad sancionadora, vínculos que en el presente supuesto no existen.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sentencia 1385/2021, de la Sala de lo Contencioso-Administrativo del Tribunal Supremo, de 25 de noviembre, desestimó el recurso. La Sala justifica la transmisión de la sanción en diversos precedentes en los que tanto dicho órgano judicial como el Tribunal de Justicia de la Unión Europea vienen admitiendo la sucesión en las sanciones. Siguiendo dicha jurisprudencia, el Tribunal Supremo concluye que cabe la transmisión de responsabilidad por infracciones administrativas en los casos de fusión por absorción y otros supuestos de sucesión entre personas jurídicas “cuando concurran las notas de identidad económica, de permanencia o de continuidad de la actividad económica, sobre la base de la consideración de que las sanciones pecuniarias forman parte del pasivo transmitido, sin que ello pueda considerarse contrario al principio de responsabilidad personal que se asienta sobre una concepción de la culpabilidad no trasladable 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en la absorción de Banco Popular, S.A., por el Banco Santander, S.A., se produce una continuidad económica, pues el segundo adquirió la totalidad del patrimonio activo y pasivo del primero y se convirtió en su sucesor universal, continuando en su integridad su actividad económica y empresarial. Por consiguiente, asumió también la responsabilidad por las infracciones cometidas.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atribuye a los actos dictados por el Consejo de Ministros (sancionador y desestimatorio del recurso de reposición) la vulneración del derecho a la legalidad sancionadora del art. 25.1 CE, en la vertiente del principio de culpabilidad y personalidad de la pena. A la sentencia del Tribunal Supremo de 25 de noviembre de 2021 no le imputa una lesión autónoma, sino únicamente la confirmación de un criterio administrativo que considera lesivo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no descarta, en general, que las sanciones puedan transmitirse en los casos de sucesión empresarial cuando hay vínculos o continuidad entre la entidad infractora y la sancionada. Sin embargo, sostiene que en este caso no concurrían las notas de permanencia de la organización de la antigua entidad que justifiquen la sucesión en su responsabilidad. El Banco Santander, S.A., no se hizo cargo del Banco Popular, S.A., hasta años después de la supuesta conducta infractora, por lo que se le está trasladando la responsabilidad de forma objetiva, únicamente con base en el dato formal de la sucesión.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la responsabilidad sancionadora opera sobre bases distintas que la responsabilidad patrimonial, ya que la sanción tiene una finalidad de reproche y prevención, que no puede articularse de forma objetiva. Sostiene que se habría tenido que analizar si existían vínculos entre el antiguo Banco Popular, S.A., y Banco Santander, S.A., a la fecha de comisión de la supuesta infracción imputada que permitieran la transmisión de responsabilidad. Tales vínculos no existían, ni en el plano jurídico (eran personas independientes); ni económico (cada uno tenía fondos y recursos diferenciados); ni organizativo (cada entidad tenía sus procedimientos de prevención del blanqueo de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mecanismo de “resolución” de entidades bancarias conllevó una ruptura radical entre el antiguo Banco Popular, S.A., y el nuevo banco resultante del proceso de “resolución”, que era una realidad jurídica, económica y organizativa distinta. El nuevo Banco Popular, S.A., vendido por el fondo de reestructuración ordenada bancaria a Banco Santander, S.A., era una entidad ajena en todos los aspectos a la entidad que cometió la infracción que se imputa (salvo por el nombre de “Banco Popular”, que se mantuvo en un primer momento por razones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la STC 129/2003, de 30 de junio, FJ 8, según la cual la admisión en nuestro Derecho administrativo sancionador de la responsabilidad directa de las personas jurídicas pasa porque tengan “capacidad de infracción” y es claro que en las circunstancias descritas Banco Santander, S.A., no estaba en disposición de cometer ni influir de ningún modo en la conducta infractora, dada la ausencia total de vínculos con Banco Popular,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Banco Santander, S.A., presentó la única oferta en el procedimiento competitivo de subasta realizado por el fondo de reestructuración ordenada bancaria. Por tanto, sin esa oferta, el proceso de “resolución” de Banco Popular, S.A., hubiera sido un fracaso, haciendo precisa una muy costosa intervención pública. Aclara que la compra de Banco Popular, S.A., por Banco Santander, S.A., no fue una “adquisición” societaria ordinaria en que la parte compradora pudiera adoptar las cautelas necesarias para cubrirse frente a eventuales responsabilidades de la sociedad que compra. Esto debe tenerse en cuenta cuando se ejerce la potestad sancionadora contra el tercero adquirente, que debe quedar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subraya que los procedimientos y responsables en materia de prevención del blanqueo de capitales cambiaron completamente tras la “resolución” y absorción. De hecho, se instauró un “modo de hacer las cosas” que ha sido considerado correcto por el SEPBLAC, puesto que Banco Santander, S.A., fue también sometido a la misma inspección realizada sobre Banco Popular, S.A., sin que se apreciaran anomalías. Por lo tanto, la nota formal de continuidad en el negocio bancario no resulta de aplicación en este caso. Adicionalmente, alega que el Banco Santander, S.A., no ha obtenido ninguna ventaja, directa o indirecta, de la conducta sancionada, por lo que la mera continuidad de la actividad bancaria anterior de Banco Popular, S.A., no puede legitimar la transmisión de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este caso, es improcedente sancionar a Banco Santander, S.A., por una conducta que queda fuera del negocio bancario continuado por él, prueba de lo cual es que cambió radicalmente la forma de hacer las cosas.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argumenta, en segundo lugar, que la sanción impuesta tiene carácter penal, conforme a los parámetros de la doctrina del Tribunal Europeo de Derechos Humanos (asuntos Engel y Saquetti Iglesias). De lo cual se deriva la consecuencia de que debían aplicarse con el máximo rigor las garantías propias del Derecho penal, incluyendo, entre otros, los principios de culpabilidad y personalidad de la pena del art. 25.1 CE. Los “matices” o “modulaciones” con los que pueden aplicarse los principios del Derecho penal sobre sanciones administrativas no caben en este caso, desde luego, no hasta el punto de excepcionar la aplicación de los principios de culpabilidad y personalidad —especialmente en una sanción de “naturaleza penal”—, según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añade que, si atendemos al modo en el que se construye la responsabilidad de las personas jurídicas en el ámbito del ius puniendi, podemos entender que lo relevante no es tanto una idea automática de transferencia por hechos de las personas físicas que actúan en representación o en nombre de la persona jurídica, como la idea del “hecho propio” de la persona jurídica, constituida por las medidas de organización interna que haya adoptado. Desde este punto de vista, está aún menos justificado que se pretenda que Banco Santander, S.A., responda por conductas infractoras de Banco Popular, S.A., producidas en el ámbito de la prevención del blanqueo de capitales, sobre todo, cuando se ha acreditado que la organización interna del Banco Santander, S.A., no era merecedora de ningún reproche.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concluye solicitando al Tribunal que otorgue el amparo porque las resoluciones administrativas y la sentencia del Tribunal Supremo impugnadas han vulnerado los principios de culpabilidad y personalidad de las sanciones contenido en el derecho fundamental a la legalidad penal (art. 25.1 CE), declarando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noviembre de 2022, la Sección Cuarta de este tribunal acordó admitir a trámite el recurso, apreciando que reviste especial trascendencia constitucional (art. 50.1 de la Ley Orgánica del Tribunal Constitucional, en adelante, LOTC), como consecuencia de que el recurso plantea un problema o afecta a una faceta de un derecho fundamental sobre el que no hay doctrina de este tribunal [STC 155/2009, FJ 2 a)]. Acordó igualmente dirigir atenta comunicación a la Sección Tercera de la Sala de lo Contencioso-Administrativo del Tribunal Supremo, a fin de que remitiera testimonio íntegro de lo actuado en el recurso ordinario núm. 345-2020; debiendo previamente emplazarse para que en el plazo de diez días pudieran comparecer en el recurso de amparo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14 de diciembre de 2022, se personó en las actuaciones el abogado del Estado, en la representación que ostenta, solicitando que se entendieran con él los trámites posteriores. Por diligencia de ordenación de 9 de enero de 2023, el secretario de justicia de la Sección Cuarta le tuvo por personado y acordó dar vista de las actuaciones recibidas a las partes personadas y al Ministerio Fiscal, por plazo común de veinte días, para que pudieran presentar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enero de 2023, el secretario de justicia de la Sección Tercera puso en conocimiento de las partes que el recurso de amparo había sido turnado a dicha Sección, en virtud de lo acordado por el Pleno del tribunal el día 17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día 9 de febrero de 2022. En primer lugar, aduce que la demanda es inadmisible en relación con el motivo relativo a la naturaleza penal de la sanción como infracción de los principios de culpabilidad y responsabilidad (art. 25 CE), pues este motivo se introdujo por primera vez en la demanda de amparo, sin que la jurisdicción ordinaria haya podido pronunciarse sobre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alegada vulneración de los principios de culpabilidad y responsabilidad en el ámbito del Derecho administrativo sancionador, razona que, según la doctrina constitucional, tales principios, por un lado, prohíben regular supuestos de responsabilidad objetiva; y, por otro, exigen que la culpabilidad y responsabilidad se acredite mediante un procedimiento con las garantías procedimentales de los arts. 24 y 25 CE, entre ellos la adecuada motivación de las resoluciones sancionadoras. Para el abogado del Estado, la queja de la entidad demandante de amparo se centra en la motivación de la resolución sancionadora, sobre la base de una distinta interpretación de normas legales y europeas, es decir,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infracción del principio de responsabilidad y personalidad solo se daría si la interpretación de la ley realizada por el órgano sancionador en orden a la transmisión de la responsabilidad administrativa fuera irrazonable, arbitraria o ilógica, cuestión que —a su entender—, no concurre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considera que las resoluciones administrativas impugnadas se ajustan a la consolidada jurisprudencia del Tribunal Supremo y del Tribunal de Justicia de la Unión Europea sobre la transmisión de responsabilidad en caso de sucesión empresarial. En concreto, razona que, de admitirse la interpretación del recurrente, dependería de la exclusiva voluntad de la sociedad eludir las responsabilidades administrativas mediante el simple proceso de extinguirla mediante fusión por absorción. Implicaría también considerar que, por la adquisición del capital social de una sociedad, sin extinción, desaparecerían las responsabilidades administrativas de la sociedad adquirida, aunque esta siga existiendo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anterior, subraya que la decisión de participar en la subasta para la adquisición del Banco Popular, S.A., y realizar una fusión por absorción con extinción de su personalidad jurídica con posterioridad fue resultado de un acto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interpretación mantenida por los acuerdos impugnados no es arbitraria, irracional ni ilógica ni infringe los principios de responsabilidad y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9 de febrero de 2023 tuvo entrada en el registro del tribunal el escrito de alegaciones de la entidad Banco Santander, S.A., en el que, ratificándose en lo argumentado en la demanda, añade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aplicación del mecanismo de “resolución” de Banco Popular, S.A., impide considerar que exista una continuidad organizativa y económica en términos suficientes para la exigencia de responsabilidad sancionadora. La ruptura sustancial de la continuidad empresarial entre Banco Popular, S.A., y Banco Santander, S.A., y la inexistente posibilidad para este de evitar el resultado ilícito (que ya se había producido y consumado antes de la “resolución” del banco adquirido), conducen a entender que no puede ser declarado responsable por hechos infractores anteriores a la “resolución”. Especialmente, ante hechos de la naturaleza de los examinados, que se refieren a deficiencias en los procedimientos y órganos internos de prevención del blanqueo de capitales, sobre cuya aplicación por parte de Banco Santander, S.A., no cabe formular tacha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doctrina recogida en las SSTC 246/1991, de 19 de diciembre, y 129/2003, de 30 de junio, hace girar la responsabilidad de las personas jurídicas por infracción sobre la “capacidad de infracción”. No discute que sea compatible con el art. 25 CE trasladar la responsabilidad sancionadora desde una sociedad que cometió la infracción a otra que le suceda en el tráfico jurídico. Sin embargo, no puede predeterminarse que siempre y en todo caso una sucesión suponga automáticamente la transmisión a la sociedad absorbente de la responsabilidad por infracciones de la absorbida. Para ello debería haber una continuidad que en su caso no existe. Banco Santander, S.A., tenía y tiene sus propios procedimientos de prevención del blanqueo de capitales y es responsable de realizar las comunicaciones de operativa sospechosa que le competen, pero no cabe que se le haga responsable de que la organización interna de prevención del blanqueo de capitales de Banco Popular, S.A., no realizara las comunicaciones de operativa sospechosa que le correspondían.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subraya que la “resolución” de Banco Popular, S.A., supuso la quiebra de su continuidad y su desaparición como centro de imputación de responsabilidades sancionadoras, sin que existan vínculos que legitimen la transmisión de responsabilidad a Banco Santander, S.A. Por tanto, se ha producido una traslación objetiva de responsabilidad incompatible con los principios de culpabilidad y personalidad, según la jurisprudencia constitucional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“resolución” del Banco Popular, S.A., han desaparecido los elementos caracterizadores de dicha entidad, especialmente en el ámbito de la responsabilidad sancionadora de que se trata. No existe su antiguo accionariado, ni su antiguo consejo de administración ni su antigua organización interna en materia de prevención del blanqueo de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que la sentencia impugnada no reflexiona sobre el hecho distintivo de que la sucesión de Banco Popular, S.A., es el resultado de la aplicación del mecanismo único de “resolución” de entidades bancarias ordenado por la normativa sobre resolución de entidades de crédito, que es un mecanismo exorbitante de Derecho público que cambió por completo su realidad jurídica, económica y organizativa, y que carecía de precedentes normativos europeos anteriores. No estamos ante una sucesión ordinaria entre personas jurídicas porque la “resolución” afectó a los elementos definitorios de la identidad de Banco Popular, S.A. Mientras que en una sucesión “normal” perviven elementos de la sociedad sucedida en su sucesora, no ocurrió lo mismo en el caso de Banco Popular, S.A., al que se aplicó el primer procedimiento europeo de “resolución”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es particularmente importante a la vista de que no se exige una responsabilidad por sanciones ya impuestas respecto de las que se reclame el pago que estuviera pendiente, ni tampoco a procedimientos en curso en el momento de producirse la “resolución” de Banco Popular, S.A. A la entidad recurrente se le exige responder por hechos agotados y consumados dos años antes de la “resolución” del banco infractor, respecto de los cuales no existía ningún procedimiento sancionador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con el mecanismo de “resolución” se buscó garantizar tres funciones esenciales de Banco Popular, S.A.: la toma de depósitos de los hogares y las sociedades no financieras; los préstamos a las pequeñas y medianas empresas y los servicios de pago y efectivo. La continuidad se limitó a estos aspectos, pero no al procedimiento y organización internas en materia de prevención del blanqueo de capitales. Tras la fusión, el procedimiento y organización de Banco Santander, S.A., en dicha materia son los únicos que existen.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continuidad en el negocio bancario no basta para justificar la traslación de responsabilidad, considerando que, tras la “resolución” de Banco Popular, S.A., los procedimientos, las políticas, la organización y las personas responsables de blanqueo cambiaron radicalmente.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cita las sentencias del Tribunal General de la Unión Europea de 1 de junio de 2022, asunto Aeris Invest Sàrl c. Comisión Europea y Junta Única de Resolución, T-628/17, y de 6 de octubre de 2021, asunto Aeris Invest Sàrl c. Banco Central Europeo, T-828/17, así como la del Tribunal de Justicia de la Unión Europea en el asunto Banco Santander, S.A., C-410/20. De ellas se colige que el mecanismo de “resolución” bancaria está presidido por un interés público superior al que pueda existir en sancionar la falta de comunicación por indicio de blanqueo en dos casos puntuales. En concreto, la última sentencia citada impone a los accionistas y acreedores afectados por la “resolución” tener que soportar las pérdidas correspondientes sin que subsista responsabilidad alguna a cargo de la entidad resuelta o su sucesor, pues debe prevalecer la estabilidad del sistema financiero y la evitación de un riesgo sistémico.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insiste en el argumento de la demanda sobre la naturaleza penal de la sanción aplicada en este caso, lo que exige que los principios de culpabilidad y responsabilidad personal deben aplicarse sin “modulaciones” o “matices” que supongan un debilitamiento de las garantías del Derecho penal que materialmente los excepcionen.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su escrito de alegaciones el 7 de marzo de 2023, solicitando la desestimación íntegra del recurso de amparo, con base en los razonamientos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sintetizar los antecedentes de hecho y los argumentos de la demanda, aborda el segundo de ellos —referido al carácter penal de la sanción impuesta— para señalar que la entidad recurrente tan solo alega que deben aplicarse con el máximo rigor las garantías de culpabilidad y responsabilidad de los arts. 25.1 CE y 7 del Convenio europeo de derechos humanos, pero sin concretar qué consecuencias tendría para este caso dicha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admitiendo el carácter penal de la sanción impuesta, recuerda que el art. 130.2 del Código penal (CP) prevé que la desaparición de una persona jurídica no conlleva la extinción de la responsabilidad criminal. En concreto, el párrafo primero de dicho precepto regula la sucesión en la responsabilidad en los casos de disolución no fraudulenta, citando prácticamente todos los supuestos regulados en la Ley 3/2009, de 3 de abril, sobre modificaciones estructurales de las sociedades mercantiles: transformación, fusión, absorción y escisión. Por su parte, el párrafo segundo del art. 130.2, se refiere a los casos de disolución fraudulenta, lo que considera que no es el caso aquí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regulación del art. 130.2, párrafo primero, CP, que sería la aplicable a este caso, implica un traslado de la responsabilidad por ilícito de la empresa originaria, sin exigir que en la empresa resultante concurra estado alguno de injusto ni que la operación se haya realizado para eludir la responsabilidad. Considera que el traslado de la responsabilidad a la entidad resultante de la transformación, fusión o absorción no se basa en la participación de esta en el hecho típico, sino en la propia operación empresarial de transformación, fusión o absorción y en la continuidad en la actividad empresarial. Por tanto, los principios de culpabilidad y responsabilidad del art. 25.1 CE solo serían predicables de la entidad que cometió en su momento las infracciones pero no de la ahora recurrente. Esta tendría que soportar el traslado de la responsabilidad, en primer lugar, por imperativo del art. 130.2 CP; y, en segundo lugar, porque participó voluntariamente en la absorción de Banco Popular, S.A., y continuó el negocio bancario de esta, como entidad infractora, asumiendo su estructura de empleados y activos, clientes y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considera que la vía argumentativa de la demanda ligada al carácter penal de la sanción impuesta no podría prosperar, ya que la aplicación del Derecho penal al caso respaldaría la sucesión en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el punto de vista del Derecho administrativo sancionador, el fiscal recuerda que también es aplicable el principio de culpabilidad, citando la STC 246/1991, FJ 2. Con base en ella, considera que la construcción de la imputabilidad a la persona jurídica debe ser distinta, dado que es una ficción, carente de voluntad en sentido estricto, pero que, a pesar de ello, puede infringir las normas a que está sometida. La capacidad infractora de la persona jurídica deriva del bien jurídico protegido, de la necesidad de que dicha protección sea eficaz y del riesgo que debe asumir la persona jurídica que está sometida al cumplimiento de una norma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el fiscal constata que en el Derecho administrativo no existe un precepto semejante al art. 130.2 CP. Sin embargo, tanto el Tribunal Supremo como el Tribunal de Justicia de la Unión Europea han venido dando una respuesta similar al problema de los cambios que, a diferencia de las personas físicas, las personas jurídicas experimentan a lo largo de su existencia. Menciona una serie de sentencias del Tribunal Supremo y del Tribunal de Justicia de la Unión Europea que, en síntesis, admiten la sucesión con base en el criterio de la continuidad económica. En concreto, la STJUE de 5 de marzo de 2015, asunto C-343/13, señala que la absorción de una entidad por otra conlleva la transmisión de su activo y pasivo, incluyendo la expectativa de sanción en que podría incurrir aquella por actuaciones anteriores a la absorción. Por su parte, la STJUE de 14 de marzo de 2019, asunto C-724/17, considera que, cuando hay identidad sustancial entre la antigua y la nueva entidad, imputar a la segunda una responsabilidad de la primera no vulnera el principio de responsabilidad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anterior, el fundamento de imponer una sanción administrativa a la sucesora no radica en haber realizado la conducta típica —lo que no hizo— sino en la adquisición de los activos y pasivos de la persona jurídica infractora, en la continuación de la actividad económica adquirida o en ambas circunstancias a la vez. En este sentido, los acuerdos del Consejo de Ministros impugnados siguen dicha línea jurisprudencial, justificando la sanción a Banco Santander, S.A., en la continuidad de la actividad empresarial de Banco Popular,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fiscal considera irrelevantes los argumentos de la demanda referidos a la falta de vínculo entre las entidades implicadas con carácter previo a la absorción; a que cuando esta se produjo el expediente sancionador no estaba todavía incoado; a que no hubo continuidad en materia de procedimientos de prevención del blanqueo de capitales y a que la entidad sancionada evitó costes millonarios a las arcas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continuidad entre ambas entidades, señala que Banco Santander, S.A., controló desde el primer momento toda la actividad de Banco Popular, S.A., y es esa continuidad, sin interrupción, lo que justifica la sucesión en la responsabilidad por infracción. Respecto a que la conducta infractora era ajena a la actividad bancaria, el fiscal sostiene que el origen concreto de la responsabilidad es irrelevante, porque lo fundamental es la continuidad por la absorbente de la actividad económica de la absorbida, insertándose la responsabilidad en el pasivo transmitido.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diciembre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impugna, por la vía del art. 43 LOTC, el acuerdo del Consejo de Ministros de 24 de mayo de 2019 que impuso a Banco Santander, S.A., como sucesor de Banco Popular, S.A., una sanción de 1 056 000 € por la comisión de una infracción muy grave del art. 51.1 a) LPBC, consistente en dejar de comunicar al SEPBLAC determinadas operaciones sospechosas de blanqueo de capitales que habían sido identificadas por los empleados de la entidad. Dicho acuerdo fue confirmado en reposición por el de 29 de septiembre de 2020 y, en vía contencioso-administrativa, por la sentencia del Tribunal Supremo núm. 1385/2021, de 25 de noviembre, resoluciones ambas impugnadas también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expuesto con más detalle en los antecedentes, el acuerdo del Consejo de Ministros de 24 de mayo de 2019 fundamenta la imposición de la sanción en que: (i) según una consolidada jurisprudencia del Tribunal Supremo, el criterio prevalente es la permanencia de una entidad económica y empresarial, es decir, la identidad sustancial entre las empresas sucesivas; (ii) la modulación de los principios de culpabilidad y responsabilidad dependerá de que se advierta una quiebra parcial de continuidad económica y empresarial, pero no del mero hecho de un cambio de titularidad jurídica; (iii) en el curso de la inspección ha quedado acreditado el incumplimiento del deber de comunicar al SEPBLAC determinadas operaciones sospechosas de blanqueo; y (iv) la sanción impuesta se sitúa en el primer percentil del intervalo posible, lo que se justifica en que, cuando se deriva una responsabilidad sancionadora al adquirente de una empresa, cabe aplicar un factor de atenuación de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Supremo impugnada confirma el citado acuerdo del Consejo de Ministros y el de 29 de septiembre de 2020 que desestimó el recurso de reposición, con remisión a jurisprudencia previa suya y del Tribunal de Justicia de la Unión Europea sobre la sucesión en la responsabilidad por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mercantil demandante de amparo, el acuerdo sancionador ha vulnerado el derecho a la legalidad sancionadora del art. 25.1 CE, en la vertiente del principio de culpabilidad y personalidad de la pena. Argumenta que: (i) es posible que las sanciones se transmitan en los casos de sucesión empresarial, cuando hay vínculos o continuidad entre la entidad infractora y la sancionada, pero esto no sucede en su caso, pues hubo una ruptura total entre Banco Popular, S.A., y Banco Santander, S.A.; (ii) esta fue la única entidad que presentó una oferta en la “resolución” de Banco Popular, S.A., procedimiento cuya singularidad no se ha tenido en cuenta y con el que se evitó una intervención pública que habría sido muy costosa; (iii) tras la absorción de Banco Popular, S.A., los procedimientos y responsables de prevención del blanqueo de capitales cambiaron completamente, superando sin tacha la inspección realizada por el SEPBLAC; (iv) la entidad sancionada no ha obtenido ventaja alguna de la conducta infractora, que es ajena al negocio bancario; y (v) la sanción impuesta tiene carácter penal y se le deben aplicar con rigor los principios de culpabilidad y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del motivo referido al carácter penal de la sanción administrativa impuesta, al haberse invocado por primera vez en la demanda de amparo, en contra de la subsidiariedad de este recurso. Respecto de la alegada vulneración de los principios de culpabilidad y responsabilidad, considera que debe desestimarse porque la interpretación de la ley realizada por el órgano sancionador no es irrazonable, arbitraria ni ilógica, y se ajusta a la consolidada jurisprudencia del Tribunal Supremo y del Tribunal de Justicia de la Unión Europea sobre la transmisión de responsabilidad en caso de sucesión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solicita que se desestime el recurso. Razona que, aunque se admita el carácter penal de la sanción impuesta, el art. 130.2 CP ya prevé la sucesión en la responsabilidad criminal entre personas jurídicas. Subraya que el traslado de la responsabilidad a la entidad resultante de una transformación, fusión o absorción no se basa en la participación de esta en el hecho típico, sino en la continuidad en la actividad empresarial, mediante un proceso al que el Banco Santander, S.A., se presentó de manera voluntaria. Para el fiscal, el elemento subjetivo de la culpa no puede aplicarse a las personas jurídicas de la misma forma que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comenzar aclarando, respecto de la solicitud del abogado del Estado de que se inadmita el motivo de impugnación basado en el carácter penal de la sanción impuesta, que esta alegación no constituye un motivo independiente de impugnación, sino un argumento para reforzar la tesis de que, al sancionar a Banco Santander, S.A., por una conducta de Banco Popular, S.A., se han vulnerado los principios de culpabilidad y personalidad recogidos en el art. 25.1 CE, que es la única impugnación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siguiente sintetizaremos la doctrina constitucional aplicable, para, en el fundamento jurídico tercero, abordar el análisis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personalidad de las sanciones, que forma parte del de legalidad penal y se encuentra, por tanto, comprendido en el derecho reconocido en el art. 25.1 CE, implica que solo se puede responder penalmente por los actos propios y no por los ajenos [SSTC 131/1987, de 20 de julio, FJ 6; 219/1988, de 22 de noviembre, FJ 3; 254/1988, de 21 de diciembre, FJ 5; 246/1991, de 19 de diciembre, FJ 2; 146/1994, de 12 de mayo, FJ 4 b); 93/1996, de 28 de mayo, FJ 1; 137/1997, de 21 de julio, FJ 5; 125/2001, de 4 de junio, FJ 6, y 60/2010, de 7 de octubre, FJ 4]. Dicho principio está estrechamente ligado al de culpabilidad, que es un “principio estructural básico tanto del Derecho penal como del Derecho administrativo sancionador, en virtud del cual queda proscrita la imposición de sanciones sin atender a la conducta del sancionado” [por todas, SSTC 76/1990, de 26 de abril, FFJJ 4 y 5; 246/1991, FJ 2; 86/2017, de 4 de julio, FJ 5 e), y 74/2022, de 14 de junio,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sobre los principios de personalidad y culpabilidad a los que está sujeto el ejercicio del ius puniendi del Estado, si bien se ha desarrollado respecto de las personas físicas, resulta también aplicable a las personas jurídicas, pero de forma distinta a como se hace respecto de aquellas. Así lo pudo constatar la STC 246/1991, FJ 2, que afirma lo siguiente: “nuestro Derecho administrativo admit[e] la responsabilidad directa de las personas jurídicas, reconociéndoles, pues, capacidad infractora. Esto no significa, en absoluto, que para el caso de las infracciones administrativas cometidas por personas jurídicas se haya suprimido el elemento subjetivo de la culpa, sino simplemente que ese principio se ha de aplicar necesariamente de forma distinta a como se hace respecto de las personas físicas. Esta construcción distinta de la imputabilidad de la autoría de la infracción a la persona jurídica nace de la propia naturaleza de ficción jurídica a la que responden estos sujetos. Falta en ellos el elemento volitivo en sentido estricto, pero no la capacidad de infringir las normas a las que están sometidos. Capacidad de infracción y, por ende, reprochabilidad directa que deriva del bien jurídico protegido por la norma que se infringe y la necesidad de que dicha protección sea realmente eficaz (en el presente caso se trata del riguroso cumplimiento de las medidas de seguridad para prevenir la comisión de actos delictivos) y por el riesgo que, en consecuencia, debe asumir la persona jurídica que está sujeta al cumplimiento de dicha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temprana STC 23/1989, de 2 de febrero, FJ 3, este tribunal ya señaló, respecto de la aplicación del principio de igualdad del art. 14 CE, que “no existe una necesaria equiparación entre personas físicas y jurídicas”. En este sentido, la STC 117/1998, 2 de junio, FJ 4, añadió que “conviene recordar que las personas jurídicas, a diferencia de lo que ocurre con las personas físicas, cuya existencia jurídica no puede ser negada por el ordenamiento jurídico, pues la persona, esto es, el ser humano, tiene el derecho inviolable a que se reconozca su personalidad jurídica (art. 10 CE y art. 6 de la Declaración Universal de los derechos humanos de 10 de diciembre de 1948), constituyen una creación del legislador, y tanto su existencia como su capacidad jurídica vienen supeditadas al cumplimiento de los requisitos que el ordenamiento jurídico establezca en cada caso […]. De este modo, y dejando a un lado las distintas teorías que han tratado de explicar el fundamento de las personas jurídicas, éstas solo pueden ser rectamente concebidas si se las conceptúa, con las precisiones que sea preciso efectuar en cada caso, como uno más de los instrumentos o de las técnicas que el Derecho y los ordenamientos jurídicos ponen al servicio de la persona para que pueda actuar en el tráfico jurídico y alcanzar variados fines de interés público o privado reconocidos por el propio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diferente naturaleza de las personas físicas y de las personas jurídicas determina, entre otras consecuencias, que existan actos que, por ser incompatibles con su respectiva naturaleza jurídica, no puedan ser realizados indistintamente por estos sujetos de Derecho. Como recordó la STC 50/2011, de 14 de abril, FJ 4, esto ocurre, por ejemplo, con las “operaciones de naturaleza societaria cuya finalidad se dirige a facilitar una mejor y más adecuada adaptación de los modelos organizativos de las personas jurídicas para la consecución de sus propios fines, mediante la realización de ‘modificaciones estructurales’ de la organización que permiten en unos casos la adopción de una nueva forma jurídica (transformación), la integración en una única entidad jurídica de una pluralidad de organizaciones preexistentes (fusión), o la división de la entidad jurídica (escisión), conservando al propio tiempo la vigencia de las relaciones jurídicas preexistentes”. Estas y otras modificaciones societarias, como la absorción (que es un tipo de fusión), “facilita[n] la continuidad de empresas y actividades económicas o de otro signo ya establecidas, eludiendo con ello las dificultades y perjuicios que, tanto en el plano jurídico como en el económico, entrañaría la disolución y liquidación del conjunto de relaciones jurídicas activas y pasivas ligadas a la entidad (personalidad) para poder alcanzar el objetivo pretendido con aquellas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sancionadora impugnada se apoya en un consolidado criterio jurisprudencial, tanto del Tribunal Supremo (entre otras, sentencias de 14 de febrero de 2007, recurso núm. 17-2005; de 23 de noviembre de 2016, recurso núm. 1003-2015; y de 13 de marzo de 2019, recursos acumulados núm. 631-2018 y 638-2018, todas ellas referidas a la sucesión entre entidades bancarias); como del Tribunal de Justicia de la Unión Europea (entre otras, sentencias de 24 de septiembre de 2009, asuntos acumulados C-125/07, C-133/07, C-135/07 y C-137/07, y de 5 de marzo de 2015, asunto C-343/13). Con arreglo a ese criterio, en los casos de fusión por absorción —como el que nos ocupa— y en otros supuestos de sucesión entre personas jurídicas, la responsabilidad por infracciones administrativas se transmite siempre que exista una “identidad económica sustancial”, es decir, cuando la actividad económica en el seno de la cual se cometió la conducta infractora continúe en el nuevo titular jurídico (aquí Banco Santander,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relato de antecedentes se ha detallado cómo, tras la aplicación del mecanismo de “resolución” de entidades de crédito previsto en el Reglamento (UE) 806/2014 del Parlamento Europeo y del Consejo, de 15 de julio, por el que se establecen normas uniformes y un procedimiento uniforme para la resolución de entidades de crédito, Banco Santander, S.A., en un primer momento, adquirió el 100 por 100 de las acciones de Banco Popular, S.A., para, en una fase ulterior, absorber a esta entidad. A resultas de la fusión por absorción, Banco Popular, S.A., se disolvió sin liquidación, traspasando “en bloque” todos sus activos, pasivos, derechos y obligaciones con clientes, proveedores, empleados, administraciones públicas y resto de operadores jurídicos al Banco Santander, S.A., como sucesor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 puede considerar que el criterio de la “identidad económica sustancial”, como fundamento de la transmisión de la responsabilidad por infracción entre personas jurídicas, sea contrario al principio de culpabilidad y personalidad de las sanciones del art. 25.1 CE. Según señala nuestra jurisprudencia, tales principios son aplicables a las personas jurídicas, pero “necesariamente de forma distinta a como se hace respecto de las personas físicas” (por todas, STC 246/1991, FJ 2). Como recordamos en la anteriormente citada STC 50/2011, FJ 4, la diferente naturaleza de unas y otras hace que determinados actos, como la fusión por absorción, solo puedan realizarse entre personas jurídicas, lo que impide un traslado automático de los conceptos acuñados para la responsabilidad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Admitir que la disolución de una persona jurídica conlleve la extinción de toda responsabilidad por infracción, como sucede con la muerte de las personas físicas (art. 130.1.1 CP), equivaldría —como aducen el abogado del Estado y el fiscal— a permitir que se eludan las responsabilidades por la vía de continuar bajo otra forma jurídica la misma actividad en cuyo ejercicio se incurrió en la conducta típica. Según afirmó la citada STC 246/1991, FJ 2, la capacidad de infracción de personas jurídicas, como ficción del Derecho, “deriva del bien jurídico protegido por la norma que se infringe y la necesidad de que dicha protección sea realmente eficaz”. Dicho objetivo se malograría si un cambio formal de titular jurídico impidiera exigir las responsabilidades en que se haya podido incurrir en el ejercicio de una determinada actividad, cuando esta continúa desarrollándose bajo una “identidad económica sustancial” (doctrina de la prevalencia de la sustancia sobre la forma o de “levantamiento del velo”).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penal, el art. 130.2, párrafo primero, CP, ha acogido este principio, al disponer que “[l]a transformación, fusión, absorción o escisión de una persona jurídica no extingue su responsabilidad penal, que se trasladará a la entidad o entidades en que se transforme, quede fusionada o absorbida y se extenderá a la entidad o entidades que resulten de la escisión. El juez o Tribunal podrá moderar el traslado de la pena a la persona jurídica en función de la proporción que la persona jurídica originariamente responsable del delito guarde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párrafo segundo añade que “[n]o extingue la responsabilidad penal la disolución encubierta o meramente aparente de la persona jurídica. Se considerará en todo caso que existe disolución encubierta o meramente aparente de la persona jurídica cuando se continúe su actividad económica y se mantenga la identidad sustancial de clientes, proveedores y empleados, o de la parte más relevante de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Derecho Administrativo sancionador, a través del que también se ejerce el ius puniendi del Estado, debe regir idéntica regla. Si bien no hay un precepto general como el art. 130.2 CP, el principio que lo inspira está presente en diversas normas. Tal es el caso de la Ley de prevención del blanqueo de capitales y de la financiación del terrorismo aquí aplicada, cuyo art. 55.1, “exigibilidad de la responsabilidad administrativa”, prevé que “la responsabilidad administrativa por infracción de la presente ley será exigible aun cuando con posterioridad al incumplimiento el sujeto obligado hubiera cesado en su actividad o hubiera sido revocada su autorización administrativa para operar”.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Otras normas administrativas que se refieren expresamente a dicha sucesión son el art. 61.1 de la Ley 15/2007, de 3 de julio, de defensa de la competencia “serán sujetos infractores las personas físicas o jurídicas que realicen las acciones u omisiones tipificadas como infracciones en esta ley o, en el caso de empresas, sus sucesores legales o económicos” y el art. 40.5 de la Ley 58/2003, de 17 de diciembre, general tributaria “[l]as sanciones que pudieran proceder por las infracciones cometidas por las sociedades y entidades a las que se refiere este artículo serán exigibles a los sucesores de las mismas”. De manera análoga, el art. 89.2 de la Ley 10/2014, de 26 de junio, de ordenación, supervisión y solvencia de entidades de crédito, extiende la responsabilidad por infracción de una entidad bancaria, entre otros, a sus accionistas significativos, que no podrán así evitar su responsabilidad aduciendo que su personalidad jurídica es distinta a la de la entidad infractora.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demandante, que considera justificada “en líneas generales” la sucesión en la sanción, aduce varios argumentos para excluirla en su caso particular. Ninguno de ellos puede tener favorable acogida,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aunque se invoca la singularidad del procedimiento de “resolución” bancaria, lo relevante a nuestros efectos es que este procedimiento desembocó en la absorción por el Banco Santander, S.A., del Banco Popular, S.A., que se disolvió sin liquidación, traspasando “en bloque” todas sus líneas de negocio al sucesor universal, que siguió ejerciéndolas sin solución de continuidad.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continuidad incluye la operativa de captación de depósitos y los servicios de pago, que integra el núcleo de la actividad de un banco comercial, y en cuyo ejercicio se había incurrido en las conductas infractoras. La entidad recurrente alega que el mecanismo de “resolución” buscó garantizar las funciones esenciales de Banco Popular, S.A., entre ellas, la toma de depósitos y los servicios de pago y efectivo, y argumenta que la continuidad se limitó a estos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debe tenerse en cuenta que las obligaciones de prevención del blanqueo de capitales son inherentes a la actividad bancaria. Así, los primeros sujetos obligados en materia de prevención del blanqueo que cita la Ley de prevención del blanqueo de capitales y de la financiación del terrorismo —de un total de veintisiete— son precisamente las “entidades de crédito” [art. 2.1 a)]. Dicha ley contiene varios preceptos expresamente dedicados a las obligaciones de prevención del blanqueo de las entidades que ejercen la actividad bancaria: art. 13 “[c]orresponsalía bancaria transfronteriza”, art. 41 “[e]nvío de dinero”, art. 43 “[f]ichero de titularidades financieras”, etc.; lo que corrobora que las citadas obligaciones son indisociables de la actividad en la que se produjo la sucesión.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mediante la transmisión en bloque del negocio, todas las relaciones del Banco Popular, S.A., con clientes, trabajadores, otras entidades, etc., pasaron al sucesor universal, incluidas las operaciones en cuya gestión se cometieron las conductas sancionadas y las obligaciones de prevención del blanqueo de capitales consustancial a ellas. Por tanto, existe una “identidad económica sustancial” entre el patrimonio empresarial del extinto Banco Popular, S.A., y el del Banco Santander, S.A., que justifica la sucesión en la responsabilidad por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argumento de que Banco Santander, S.A., fue el único postor en el procedimiento de resolución de Banco Popular, S.A., y que con ello evitó una costosa intervención pública en esta entidad apela a un razonamiento metajurídico que no puede admitirse (SSTC 20/1987, de 19 de febrero, FJ 4, y 89/2011, de 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conviene subrayar —como apuntan el abogado del Estado y el fiscal—, que la participación de Banco Santander, S.A., en todo el proceso fue enteramente voluntaria y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 la alegada modificación de los procedimientos en materia de blanqueo emprendida por el Banco Santander, S.A., se ha atender a la situación existente en el momento de realizarse las conductas típicas, sin perjuicio de que la conducta posterior, en este caso propiciada por un cambio en el titular de la actividad, pueda tener un efecto atenuante en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 sucedido en el presente caso, pues, como constata la sentencia del Tribunal Supremo impugnada (fundamento jurídico quinto), para cuantificar la sanción pecuniaria se ha aplicado un factor atenuador de la responsabilidad en atención a la conducta subsiguiente del nuevo titular de la actividad (Banco Santander, S.A.). En concreto, la sanción impuesta ascendió a 1 056 000 €, cuando el intervalo posible era de un mínimo de 150 000 € y un máximo de 625 731 250 €. Por tanto, la multa equivale al 1,68 por 100 de la sanción máxima que podía haberse impuesto. De esta forma, el cambio de comportamiento tras la sucesión sí ha modulado la responsabilidad transmitida, aunque no hasta el punto de eliminarla por completo, pues no se quiebra la “identidad económica sustancial” entre el banco absorbido y el absorbente.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tampoco cabe oponer la ausencia de beneficio derivado de la conducta infractora. Tal beneficio no integra el tipo infractor aplicado, consistente en dejar de comunicar al SEPBLAC determinadas operaciones identificadas por los empleados de la entidad como sospechosas de blanqueo. Y esto, con independencia de que la sanción se hubiera impuesto a la entidad infractora, de no haberse extinguido, o a la sucesora, como ha sido el caso. El beneficio obtenido gracias a la infracción únicamente puede jugar como criterio de graduación [art. 59.1 b) LPBC], pero no es un requisito para que se incurra en el tipo ni para que la responsabilidad se transmita al sucesor.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criterio aplicado por el Consejo de Ministros para imponer una sanción a Banco Santander, S.A., como sucesor de Banco Popular, S.A., no ha vulnerado los principios de culpabilidad y personalidad de la pena derivados del art. 25.1 CE, por lo que el presente recurso de amparo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Banco Santander, S.A., contra los acuerdos del Consejo de Ministros de 24 de mayo de 2019 y de 29 de septiembre de 2020, confirmados por la sentencia 1385/2021 de la Sección Tercera de la Sala de lo Contencioso-Administrativo del Tribunal Supremo, de 25 de noviembre.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