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4035-2023, promovido por don José Miguel Triviño Rueda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junio de 2023, la procuradora de los tribunales doña Ana María Araúz de Robles Villalón, en nombre y representación de José Miguel Triviño Rueda y bajo la dirección del letrado don Francisco Javier Araúz de Robles Dávila formuló demanda de amparo contra el auto de 22 de noviembre de 2022 de la Sección Primera de la Sala de lo Contencioso-Administrativo del Tribunal Supremo, en recurso de queja núm. 378-2022.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octubre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4035-2023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