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el magistrado don Ramón Sáez Valcárcel, en el recurso de amparo núm. 3789-2023, promovido por la entidad Obras Generales del Norte, S.A., (OGENSA)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junio de 2023 por la entidad Obras Generales del Norte, S.A., (OGENSA), representada por la procuradora de los tribunales doña Susana Fernández Cobián, bajo la dirección del abogado don Pablo García-Vallaure Rivas, interpuso recurso de amparo contra la sentencia de la Sala de lo Civil y Penal del Tribunal Superior de Justicia de Madrid, en asunto civil núm. 26-2022 sobre anulación de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día 6 de noviembre de 2023, el magistrado don Enrique Arnaldo Alcubilla comunicó a los efectos oportunos su voluntad de abstenerse de intervenir en el conocimiento del recurso de amparo núm. 3789-2023 y todas sus incidencias, de conformidad con los arts. 80 de la Ley Orgánica del Tribunal Constitucional (LOTC) y 217 de la Ley Orgánica del Poder Judicial (LOPJ), al entender que concurre en su persona la causa establecida en el art. 219.13 LOPJ, debido a la existencia de una previa intervención profesional como árbitro en un asunto similar al que se plantea en dicho recurso de amparo, entre las mismas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que, dada la existencia de una previa intervención profesional como árbitro en un asunto similar entre las mismas partes, al que se plantea en el recurso de amparo núm. 3789-2023, se halla incurso en la causa decimotercera del art. 219 LOPJ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3789-2023,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