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534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4315-2023, promovido por doña Cristina Mourelle Cacharrón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junio de 2023, el procurador de los tribunales don José María Ruiz de la Cuesta Vacas, en nombre y representación de doña Cristina Mourelle Cacharrón y otros y bajo la dirección del letrado don Francisco Javier Araúz de Robles Dávila, formuló demanda de amparo contra el auto y la providencia de la Sección Primera de la Sala de lo Contencioso-Administrativo del Tribunal Supremo, en recurso de queja núm. 386-2022.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julio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4315-2023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