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2976-2023, promovido por don Carlos Pérez Quintanilla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mayo de 2023, el procurador de los tribunales don Argimiro Vázquez Guillén, en nombre y representación de don Carlos Pérez Quintanilla y bajo la dirección del letrado don José Luis Pena Fernández, formuló demanda de amparo contra el auto de 20 de octubre de 2022 de la Sección Primera de la Sala de lo Contencioso-Administrativo del Tribunal Supremo, en recurso de casación núm. 5089-2021.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2976-2023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