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1433-2022, promovido por doña Ghada Helmi Zaki Alayadi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2022, la procuradora de los tribunales doña Irene Gutiérrez Carrillo, en nombre y representación de doña Ghada Helmi Zaki Alayadi y otros y bajo la dirección del letrado don Iván Ortega Ruiz, formuló demanda de amparo contra el auto de la Sección Primera de la Sala de lo Contencioso-Administrativo del Tribunal Supremo, en recurso de queja núm. 556-2021 contra el dictado por la Sección Segunda de la Sala de igual orden de la Audiencia Nacional, procedimiento ordinario núm.1171-2017.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1433-2022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