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2707-2023, promovido por don Helios Villanueva Alcántara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abril de 2023, la procuradora de los tribunales doña Ana María Araúz de Robles Villalón, en nombre y representación de don Helios Villanueva Alcántara y bajo la dirección del letrado don Francisco Javier Araúz de Robles Dávila, formuló demanda de amparo contra la providencia de 9 de marzo de 2023, dictada por la Sección Primera de la Sala de lo Contencioso-Administrativo del Tribunal Supremo, en recurso de casación núm. 3380-2022.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2707-2023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