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las magistradas doña Concepción Espejel Jorquera, presidenta, y doña María Luisa Segoviano Astaburuaga en el recurso de amparo núm. 4805-2023, promovido por don Matheus de Amorim Orjales, contra la sentencia 56/2023, de 19 de junio,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4805-2023 se impugna la sentencia 56/2023, de 19 de junio, dictada por la Sala de lo Militar del Tribunal Supremo contra la sentencia dictada por el Tribunal Militar Territorial Cuarto, de 1 de diciembre de 2022, sumario núm. 41-10-21, por la que se condenó a don Matheus de Amorim Orjales como autor de un delito consumado relativo al ejercicio de los derechos fundamentales y de las libertades públicas por los militares, en su modalidad de abuso 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16 de noviembre de 2023, don Cándido Conde-Pumpido Tourón, presidente de la Sección Primera del Tribunal Constitucional, comunicó a los efectos oportunos que se abstenía de intervenir en el antes indicado recurso de amparo, de conformidad con el art. 80 de la Ley Orgánica del Tribunal Constitucional,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presidente de esta sección primera, en el recurso de amparo núm. 4805-2023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