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612</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 de diciembre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6074-2022, promovido por don Charfeddine Farhati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1. Mediante escrito registrado en este tribunal el 15 de septiembre de 2022 la procuradora de los tribunales doña Ana de la Corte Macías, en nombre y representación de don Charfeddine Farhati y bajo la dirección de la letrada doña Diana García Ávila, formuló demanda de amparo contra providencia de la Sección Primera Sala de lo Contencioso-Administrativo del Tribunal Supremo en recurso de casación núm. 2398-2022.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29 de mayo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6074-2022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diciembre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