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074-2022, promovido por don Charfeddine Farhat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1. Mediante escrito registrado en este tribunal el 15 de septiembre de 2022 la procuradora de los tribunales doña Ana de la Corte Macías, en nombre y representación de don Charfeddine Farhati y bajo la dirección de la letrada doña Diana García Ávila, formuló demanda de amparo contra providencia de la Sección Primera Sala de lo Contencioso-Administrativo del Tribunal Supremo en recurso de casación núm. 239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07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