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638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4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3423-2023, promovido por doña Maite Solano Pitillas y otros en proceso contencioso 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23 de mayo de 2023, la procuradora de los tribunales doña Ana María Araúz de Robles Villalón, en nombre y representación de doña Maite Solano Pitillas y otros y bajo la dirección del letrado don Francisco Javier Araúz de Robles Dávila, formuló demanda de amparo contra la providencia de 1 de diciembre de 2022, dictada por la Sala de lo Contencioso-Administrativo del Tribunal Supremo en recurso de casación núm. 5446-2022 contra la sentencia dictada por la Sala de lo Contencioso-Administrativo del Tribunal Superior de Justicia de Navarra en apelación núm. 514-2021.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3423-2023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