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6385-2022, promovido por la entidad Avícola Casas, S.C.,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septiembre de 2022, la procuradora de los tribunales doña María Dolores Corredoira Lidor, en nombre y representación de la entidad Avícola Casas, S.C., y bajo la dirección del letrado don Celestino Muinelo Voces, formuló demanda de amparo contra la providencia de 13 de julio de 2022 dictada por la Sección Primera de la Sala de lo Contencioso-Administrativo del Tribunal Supremo, en el recurso de casación núm. 3653-2022, resolución objeto del presente recurso de amparo núm. 6385-2022.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12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6385-2022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