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660</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11 de diciembre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1053-2023, promovido por don Farhat Riaz,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febrero de 2023, la procuradora de los tribunales doña Paloma Rabadán Chaves, en nombre y representación de don Farhat Riaz y bajo la dirección del letrado don Fernando Sánchez García, interpuso demanda de amparo contra la providencia de 23 de noviembre de 2022 de la Sección Primera de la Sala de lo Contencioso-Administrativo del Tribunal Supremo en recurso de casación núm. 4036-2022.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5 de junio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don César Tolosa Tribiño en el recurso de amparo núm. 1053-2023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