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671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18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3380-2022, promovido por la entidad Clavealbir S.L.,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12 de mayo de 2022, el procurador de los tribunales don José Manuel Saura Estruch, en nombre y representación de la entidad Clavealbir S.L., y bajo la dirección de la letrada doña Berenice María Laporta Sáez, formuló demanda de amparo contra la providencia de la Sección Primera de la Sala de lo Contencioso-Administrativo del Tribunal Supremo, en el recurso de casación núm. 8798-2021.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3380-2022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