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28 de febrero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231-2021, promovido por más de cincuenta senadores y senadoras del Grupo Parlamentario Socialista, contra la Ley 1/2020, de 8 de octubre, por la que se modifica la Ley 9/2001, de 17 de julio, del suelo de la Comunidad de Madrid, para el impulso y reactivación de la actividad urbanística. Han comparecido y formulado alegaciones la Comunidad de Madrid y la Asamblea de Madrid.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enero de 2021, la procuradora de los tribunales doña Virginia Aragón Segura, en nombre y representación de cincuenta y ocho senadores y senadoras del Grupo Parlamentario Socialista del Senado, ha interpuesto recurso de inconstitucionalidad contra la Ley de la Asamblea de Madrid 1/2020, de 8 de octubre, por la que se modifica la Ley 9/2001, de 17 de julio, del suelo de la Comunidad de Madrid, para el impulso y reactivación de la actividad urbanística. La citada Ley fue publicada en el “Boletín Oficial de la Comunidad de Madrid” núm. 251, de 15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se exponen los antecedentes relativos al iter parlamentario seguido en la aprobación de la ley impugnada, y se desarrollan a continuación los argumentos de la impugnación articulándolos en torno a dos ideas principales: a) la inadecuación de la tramitación legislativa por el procedimiento de lectura única, habida cuenta de la complejidad de la materia abordada en la norma; y b) la falta de quorum en el trámite de aprobación de la norma y las irregularidades en la deliberación previa a la votación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presente recurso de inconstitucionalidad interesa resaltar los siguientes elementos del procedimiento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ley 1/2020 trae causa de un proyecto de ley aprobado por el Consejo de Gobierno de la Comunidad de Madrid el 29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acuerdo de la mesa de la Asamblea de Madrid, fechado el 9 de junio de 2020, que confirma la junta de portavoces el 30 de septiembre de 2020, y debido a la crisis sanitaria provocada por el covid-19, se decide fijar en setenta diputados el número máximo de personas que pueden estar presentes en el hemiciclo. Se oponen a este acuerdo tres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mesa de la Asamblea, por acuerdo de 7 de septiembre de 2020 acuerda la tramitación del proyecto de ley del suelo, por el procedimiento de lectura única, con el acuerdo de la junta de portavoces y la oposición de tres grupos parlamentarios, los mismos que habían votado en contra de los acuerdos relativos a la presencialidad en el hemiciclo.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Veinte parlamentarios del grupo parlamentario Más Madrid solicitaron a la Presidencia de la Asamblea poder acudir a la sesión plenaria que se celebraría el 1 de octubre de 2020, en la que se iba a discutir y votar el proyecto de ley en su conjunto. La solicitud fue desoída.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la sesión de 1 de octubre se procedió a la votación sobre la tramitación directa en lectura única, comprobándose que los diputados presentes eran setenta. Por treinta y seis votos a favor y treinta y cuatro en contra se aprueba la tramitación por el procedimiento de lectura única, habiendo quorum para ello. A continuación, se somete a votación el proyecto de ley mismo, resultando que votan cincuenta y cinco diputados (treinta y seis a favor y diecinueve en contra). La Presidencia da por aprobado el proyecto, rechazando el argumento esgrimido por diputados de la oposición de que no existía quorum suficiente. La Presidencia sostiene que el quorum existía pero los diputados no habían querido votar, incurriendo en fraude del Reglamento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Reanudada la sesión parlamentaria en sesión de tarde, y sometida a votación una iniciativa diversa que pone de manifiesto la existencia de setenta diputados en el hemiciclo, el presidente solicita el cierre de las puertas de la Cámara, y vuelve a someter a votación el proyecto de ley del suelo, aprovechando la suficiencia de quorum. Tras las protestas de parte de los diputados y la apertura de las puertas de la Cámara, se vuelve a proceder a la votación, resultando treinta y seis votos a favor de la propuesta de treinta y seis diputados presentes. La Presidencia da por aprobada, de nuevo,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 Ley es enviada al “Boletín Oficial de la Comunidad de Madrid”, publicándose en el núm. 251, de 15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los argumentos de inconstitucionalidad, la demanda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impugnada ha sido aprobada mediante un procedimiento de lectura única que vulnera diferentes preceptos del Estatuto de Autonomía de Madrid (en adelante, EAM) y del Reglamento de la Asamblea de Madrid, aprobado mediante acuerdo del Pleno de la Asamblea de 7 de febrero de 2019 (en adelante, RAM), lesionando, en consecuencia, los arts. 1.1, 9.3 y 23 CE que pone en cuestión la limitación de los derechos de participación política de la minoría parlamentaria derivada del alcance de un procedimiento legislativo que limita la capacidad de enmienda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 partir de las bases jurisprudenciales contenidas en las SSTC 109/2016, de 7 de junio, y 27/2018, de 5 de marzo, se argumenta sobre la inconstitucionalidad de la norma impugnada, derivada de la elección del procedimiento legislativo en lectura única, que implica la exclusión del derecho de enmienda y reduce el tiempo y el margen de acción de los parlamentarios, afectando a su función representativa (art. 23.2 CE). Se recuerda, con cita de las SSTC 103/2008, de 11 de septiembre, y 114/2017, de 17 de octubre, que la jurisprudencia constitucional sostiene que una ley puede ser declarada inconstitucional por vicios procedimentales siempre que tales vicios hayan provocado una alteración sustancial del proceso de formación de voluntad de la Cámara. En este caso, y partiendo de lo dispuesto en el art. 167.2 RAM se argumenta que la elección del procedimiento en lectura única para la tramitación del proyecto de ley del suelo afectó a la conformación de la voluntad de la Cámara y a los derechos de los parlamentarios, al impedir este procedimiento el ejercicio del derecho de enmienda, máxime si se tiene en cuenta el contenido de la norma, que implica a los tres niveles administrativos y es de una complejidad técnica incuestionable. En palabras del propio Tribunal Constitucional (STC 139/2017, de 29 de noviembre), excluir el derecho de enmienda por la naturaleza o simplicidad de la iniciativa supone un menoscabo constitucionalmente inaceptable del principio democrático y del pluralismo político que debe presidir e informar el procedimiento legislativo. Ello conduce a la tacha de inconstitucionalidad del art. 167.2 RAM, que excluye la posibilidad de presentar enmiendas si los proyectos legislativos se tramitan en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presunta simplicidad del proyecto, que justificaría la utilización del procedimiento en lectura única, se encuentra manifiestamente ausente en este caso, teniendo en cuenta que se trataba de una modificación de más de quince artículos de la entonces vigente Ley del suelo, que introducía además una disposición transitoria, una disposición derogatoria y tres disposiciones finales. Tampoco era simple el contexto en el que dicha iniciativa se articulaba, dada la situación provocada por la pandemia, que mantuvo a la Cámara sin actividad parlamentaria durante semanas. Como los portavoces de la oposición parlamentaria manifestaron en el único turno de palabra del que dispusieron, la materia era lo suficientemente sensible como para actuar con mucha más prudencia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estas razones, según los recurrentes, la mesa debió entrar a conocer del fondo del asunto y proceder a calificar el proyecto para ser tramitado mediante un procedimiento que permitiera a las minorías ejercer la función legislativa en las mejores condiciones posibles. La mesa está legitimada para realizar un juicio de oportunidad si el fin perseguido es el de proteger a las minorías parlamentarias, tal como resulta de la jurisprudencia constitucional, apartándose la mesa de la Asamblea de Madrid de este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 la falta de quorum, entienden los recurrentes que la misma vicia de nulidad el procedimiento legislativo, ya que no se alcanzó la mayoría exigida por los arts. 14 EAM y 118 RAM, para entender aprobada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tramitación, se dio por bueno el quorum de setenta diputados para la toma en consideración del procedimiento de lectura única, cuando la mayoría se sitúa en sesenta y siete diputados del total de 132, y, sin embargo, se consideró igualmente válido el quorum cuando se situó en cincuenta y cinco diputados en primera votación (por la mañana), y en treinta y seis en segunda (en el turno de tarde). En ambos casos dice literalmente el presidente “no hay quorum”, y acto seguido, en ambos casos, proclama la aprobación de la Ley. De esta circunstancia deducen los recurrentes la vulneración de los arts. 14 EAM y 118 RAM por el presidente de la Cámara, que reconoció dos veces la insuficiencia del quorum para aprobar una ley que finalmente fue aprobada, transgrediendo así normas integrantes del bloque de constitucionalidad y entorpeciendo con su actitud que los diputados pudieran ejercitar los derechos que les reconoce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el presidente de la Cámara ordenó repetir una votación que ya se había celebrado por la mañana, con alteración sustancial del orden del día, y sin atenerse al procedimiento reglamentario. Esta modificación sobrevenida del orden del día sin ajustarse a lo dispuesto en el art. 106.3 RAM, también supone un vicio de nulidad del procedimiento. A juicio de los recurrentes, esta conducta carece además de toda coherencia pues si se consideró satisfecho el quorum en primera votación (la matinal), declarando su validez y la aprobación de la Ley, no se justifica la celebración de una segunda votación. La invocación del art. 127.2 RAM no se adecúa a dicha justificación porque tal precepto exige repetir la votación “en el acto”, y no posteriormente, no pudiendo interpretarse ese “en el acto” como “en la misma sesión plenaria”, al resultar esta una interpretación contra legem del Reglamento. El problema se podría haber solucionado con otros medios alternativos, como el mecanismo contemplado en el art. 16.3 RAM, que permite autorizar la emisión del voto por un procedimiento telemático, con comprobación personal, previsión que regía plenamente el 1 de octubre de 2020, y que podría haberse hecho valer, máxime teniendo en cuenta que el proyecto de ley del suelo era el primero que se tramitaba una vez retomada la actividad parlamentaria en la Comunidad de Madrid tras la interrupción por la situación de estado de alarma. Sin embargo, ninguno de los órganos parlamentarios recordó la existencia de esa posibilidad, que habría redundado en la mejor protección del ius in officium de los diputados. La irregularidad de esta actuación viene confirmada por la posterior aprobación por la mesa de la Asamblea de la resolución interpretativa sobre el procedimiento de votación en directo y no presencial, de 10 de octubre de 2020, en la que se establecen medidas que parecen pensadas para evitar que vuelvan a producirse situaciones como la acaecida en la tramitación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que la actuación del presidente de la Cámara vulneró los derechos fundamentales de la minoría parlamentaria, al impedir que los diputados ejercieran conforme a derecho la función legislativa de la que son titulares, al dar por buena una primera votación sin quorum, celebrar una segunda aun cuando se había declarado la primera válida, alterando el orden del día, y dar por buena esa segunda votación, a pesar de constatar igualmente falta de quorum. Desde la perspectiva del art. 23 CE el efecto acumulado de los factores que se han mencionado, junto con la imposibilidad de presentar enmiendas, equivale a una limitación del ejercicio del mandato representativo de los parlamentarios, con merma de sus derechos fundamentales reconocidos en el art. 23.1 y 2 CE, especialmente la función legislativa, a la que se refieren los arts. 9 y 15 EAM.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inconstitucionalidad sería manifiesta conforme a los derechos consagrados en el art. 23.2 CE, interpretados a la luz del art. 67.2 CE, porque, cuando se decide reanudar la actividad parlamentaria con unas reglas de funcionamiento que impiden la presencialidad total (solo pueden asistir setenta diputados) se parte de la presunción de que los sesenta y dos diputados no presentes en la Cámara hubieran votado conforme a las directrices impuestas por sus grupos parlamentarios y no en libertad. Se pregunta la demanda qué hubiera pasado si la Cámara hubiese garantizado que todos pudieran acudir y votar, aunque fuera telemáticamente, y se sostiene que no es posible conocer la respuesta a esta cuestión porque se impidió a los diputados acceder al hemiciclo, ya que los órganos de la Cámara debieron entender que con setenta diputados bastaba para cumplir las mayorías exigidas, y que los sesenta y dos parlamentarios ausentes habrían seguido una disciplina de partido que, así interpretada, atenta gravemente contra el mandato no imperativo proclamado por nuestra Norma fundamental, cuyo titular es el representante individual y nunca la formación política a la que pertenece, tal y como ha afirmado el Tribunal Constitucional (SSTC 5/1983, de 4 de febrero, y 10/1983, de 21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señalan los recurrentes que la autonomía parlamentaria está subordinada a la Constitución, al Estatuto de Autonomía y al Convenio europeo de derechos humanos (en adelante, CEDH), de acuerdo con una constante jurisprudencia del Tribunal Constitucional que ha fijado los límites de la autonomía parlamentaria constitucionalmente reconocida. A partir de 1988 el Tribunal Constitucional entiende que cualquier acto interno de las cámaras puede ser objeto de recurso de amparo si vulnera derechos fundamentales, habiendo construido una conocida jurisprudencia sobre el derecho de participación política de los parlamentarios (art. 23.2 CE) que supone no solo acceder de manera igualitaria a las funciones y cargos públicos, sino también mantenerse en ellos y desempeñarlos de conformidad con lo que disponga la ley. Este derecho, que es de configuración legal, en el caso de los parlamentarios se conecta directamente con el derecho de los ciudadanos a participar en los asuntos públicos (art. 23.1 CE). Y, aunque no cualquier acto del órgano parlamentario que infrinja la legalidad resulta lesivo del derecho fundamental, pues solo poseen relevancia constitucional aquellos derechos o facultades que pertenezcan al núcleo esencial de la función representativa parlamentaria, el Tribunal Constitucional ha reconocido un buen número de funciones que pertenecen a ese núcleo cuya vulneración es contraria al derecho fundamental del art. 23.2 CE, entre ellas, la facultad de propuesta y defensa de enmiendas (STC 23/1990, de 15 de febrero). Asimismo, de acuerdo con el art. 10.2 CE y la interpretación de los arts. 96 y siguientes CE, es obligado respetar y aplicar los tratados internacionales suscritos, aplicando el control de convencionalidad al que estamos sujetos, cobrando especial relieve el que exige el CEDH. En aplicación de este, el Tribunal Europeo de Derechos Humanos ha reconocido que el Parlamento constituye un foro privilegiado de debate en una sociedad democrática y que existe una íntima conexión entre ese “régimen político verdaderamente democrático” y un auténtico Parlamento deliberante, y que el Parlamento, en virtud de su autonomía, puede regular sus asuntos internos, siempre respetando los límites constitucionales. Así, el Tribunal Europeo de Derechos Humanos ha señalado que el Parlamento no puede dejar huérfanos de garantías a sus parlamentarios y que el margen de apreciación nacional debe velar siempre por garantizar medidas contra la arbitrariedad (STEDH de 21 de mayo de 2019, asunto G.K. c. Bélgica), así como que las prerrogativas parlamentarias tienen especial razón de ser no solo para garantizar la autonomía parlamentaria sino para garantizar la mera existencia y los consiguientes trabajos parlamentarios de las minorías parlamentarias constituidas en oposición (STEDH de 3 de diciembre de 2019, asunto Kart c. Turquía).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en el recurso que lo sucedido en la Asamblea de Madrid, con la permisividad e incluso el impulso presidencial, vulneró radicalmente tales principios, no por falta de procedimientos parlamentarios y/o jurisdiccionales en el ordenamiento constitucional, sino porque quien suele tener reglamentariamente la última palabra en los debates, como es el caso del presidente de la Cámara, atentó de forma evidente y antijurídica contra el propio Reglamento parlamentario y, a su través, contra la Constitución española y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demanda concluye solicitando que se dicte sentencia estimatoria por la que se declare la inconstitucionalidad de la Ley 1/2020, de 8 de octubre, por la que se modifica la Ley 9/2001, de 17 de julio, del suelo de la Comunidad de Madrid, para el impulso y reactivación de la actividad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febrero de 2021 el Pleno, a propuesta de la Sección Segunda, acordó admitir a trámite el recurso de inconstitucionalidad; dar traslado de la demanda y documentos presentados, conforme dispone el art. 34 de la Ley Orgánica del Tribunal Constitucional (en adelante, LOTC), al Congreso de los Diputados y al Senado, por conducto de sus presidentes, y al Gobierno, a través del ministro de Justicia, así como a la Asamblea y al Gobierno de la Comunidad de Madrid, por conducto de sus presidentes, al objeto de que, en el plazo de quince días, puedan personarse en el proceso y formular las alegaciones que estimaren convenientes; y publicar la incoación del recurso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sendos escritos registrados en este tribunal los días 24 y 26 de febrero de 2021, las presidentas del Congreso de los Diputados y del Senado comunicaron los acuerdos adoptados por las mesas de las respectivas Cámaras, por los que ambas se personan en el procedimiento y ofrecen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presentado el 2 de marzo de 2021, el abogado del Estado, en la representación que ostenta, comparece y dice que no va a formular alegaciones, personándose a los solos efectos de que se le notifiquen las resoluciones que se dicten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8 de marzo de 2021, el letrado de la Comunidad de Madrid, actuando en representación de esta, se personó en el procedimiento, interesando la desestimación del recurso de inconstitucionalidad conforme 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no alega ningún motivo de fondo que lo sustente, dirigiéndose todos los reproches formulados a cuestiones procedimentales relativas a su tramitación parlamentaria. Gran parte de la alegación se centra en denunciar la inconstitucionalidad sobrevenida del artículo 167.2 RAM, en el que se prevé la tramitación en lectura única, pero esta impugnación indirecta es improcedente toda vez que excede del objeto del presente recurso, formulado contra la Ley 1/2020. Concretamente, lo que se imputa a la norma formalmente impugnada (la Ley 1/2020) es haber sido aprobada por el procedimiento de lectura única regulado en la sección quinta del capítulo III del título VII (artículos 167 a 170) RAM. No se reprocha la vulneración de dicho procedimiento, sino que, para los recurrentes, este no se ajusta a la doctrina constitucional sentada en relación con el artículo 23.2 de la Constitución y el derecho de enmienda, como parte del contenido esencial del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el recurso de inconstitucionalidad interpuesto no acude al Reglamento de la Asamblea de Madrid como parámetro de enjuiciamiento de la constitucionalidad de la Ley impugnada —como procedería tratándose de un reglamento que integra el bloque de constitucionalidad al amparo del cual ha de ser enjuiciada e interpretada esta—, sino que, a través de la misma, pretende enjuiciar la constitucionalidad del procedimiento de lectura única allí regulado. Ello no solo contradice su propio petitum, en el que suplica la declaración de inconstitucionalidad y consiguiente anulación de la Ley 1/2020 por vulnerar, entre otros, determinados artículos del Reglamento de la Asamblea de Madrid (entre los cuales se cita el artículo 167, de cuya observancia, sin embargo, considera que deriva la inconstitucionalidad de la Ley aprobada); sino que resultaría, en todo caso, extemporáneo, “toda vez que han transcurrido amplísimamente los plazos de tres y nueve meses previstos en el artículo 33 de la LOTC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Similares consideraciones se refieren a los acuerdos de la mesa y la junta de portavoces que establecieron unos límites máximos de asistencia al Pleno como consecuencia de la pandemia, fijándolo en setenta diputados. Como apunta el escrito, dicho acuerdo (adoptado por la mesa el 9 de junio de 2020) “es general para todas las sesiones del Pleno y no forma parte del contenido intrínseco de la Ley 1/2020, por lo que [de] considerarse que incurría en cualquier vulneración de derechos fundamentales, como el de participación política que ahora se alega (artículo 23.2 de la Constitución), bien pudo haberse interpuesto recurso de amparo frente al mismo, por la vía del artículo 42 de la LOTC, pero no procede su cuestionamiento en el presente recurso”. Especialmente, como se acredita con el acta 29/20, de la reunión de la junta de portavoces de 30 de septiembre de 2020, cuando en la misma se analizó una propuesta planteada por la Presidencia de la Cámara “en orden a hacer efectiva la solicitud de que todos los diputados puedan participar en la adopción de las decisiones de la Asamblea, ejerciendo su voto”, bien presencial o telemáticamente; propuesta que fue rechazada, entre otros, por los diputados del grupo político al que pertenecen los ahora recurrentes que aducen, precisamente, que no se impulsó tal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elección del procedimiento de lectura única para la aprobación de la ley, se insiste en que este se ha ajustado estrictamente a las disposiciones que conforman el bloque de constitucionalidad en la materia, siendo plenamente respetuoso con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doctrina sintetizada en la STC 185/2016, de 3 de noviembre, FJ 5, el escrito recuerda que la decisión de someter el texto al procedimiento de lectura única fue acordada por el órgano competente, el Pleno de la Asamblea, a propuesta de la mesa y con la conformidad de la junta de portavoces, respetando los requisitos exigidos por la regulación reglamentaria y la doctrina constitucional. En cuanto al contenido de la Ley impugnada, se sostiene que la necesidad de armonizar la regulación urbanística autonómica con los criterios sentados en la legislación básica estatal, derivados, a su vez, de la normativa comunitaria, llevan a concluir que la naturaleza del proyecto de ley aconsejaba su tramitación en lectura única, pues no se trataba de introducir novedades o cambios de oportunidad en aquella, sino de una necesidad de adaptación y transposición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Comunidad de Madrid, a diferencia de lo que sucede en el Estado y otras comunidades autónomas, no contempla estatutariamente el instrumento de los decretos-leyes constitucionalmente previstos en el artículo 86 y que, con frecuencia, se utiliza a nivel estatal para la transposición de normas comunitarias, entre otros. Por tanto, si a nivel estatal o de otras comunidades autónomas viene admitiéndose en supuestos análogos el uso de los decretos-leyes, notablemente más restrictivos de la función parlamentaria por cuanto la Cámara se limita a ratificar o derogar el texto a posteriori (sin posibilidad de un debate previo sobre el mismo, ni mucho menos de introducir enmiendas), carecería de todo sentido que, en el caso de la Comunidad de Madrid, no pueda acudirse a un procedimiento legislativo acelerado, previsto y regulado en el Reglamento de su Asamblea. Añade, por otra parte, que el propósito de la reforma es único y muy concreto, dirigiéndose exclusivamente a la regulación de las declaraciones responsables, reduciendo los supuestos sujetos a licencia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alegada inexistencia de quorum para la votación y consiguiente aprobación de la Ley, se subraya que el propio recurso de inconstitucionalidad reconoce, en su hecho séptimo, apartado d), que al tiempo de iniciarse la sesión existía quorum suficiente; aspecto que confirmó la secretaria general de la Cámara “tras realizar la pertinente revisión”, según recoge expresamente el “Diario de Sesiones de la Asamblea de Madrid”. Para la representación procesal de la Comunidad de Madrid, el problema de disonancia entre votos emitidos y quorum necesario no se debió a la insuficiencia de quorum, sino a la omisión del derecho-deber de ejercicio del voto por parte de los diputados contrarios a la aprobación de la norma, recordándose asimismo que, conforme al artículo 120 RAM, “[d]urante el desarrollo de la votación, […] ningún diputado podrá entrar en el salón de sesiones, ni abandonarlo, salvo caso de fuerza mayor y con la venia de la Presidencia”; por lo que, se remarca, “si al iniciarse la votación se certificó por la Sra. secretaria general la existencia de quorum, debe inferirse su mantenimiento durante todo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cuanto a la alegada supuesta modificación sobrevenida del orden del día, que determinó la realización de una segunda votación en la misma sesión, se reconoce que esta segunda votación —que confirmó el resultado de la primera— no supuso una modificación del orden del día: partiendo de que la primera fue válida, una segunda votación en la misma sesión sobre un punto incluido en el orden del día es una posibilidad que se encuentra reglamentariamente prevista, a modo de ratificación y a fin de disipar cualquier duda sobre la primera; y así se acordó, precisamente aprovechando que acababa de producirse otra votación en la que se había constatado nuevamente la existencia de quorum. En todo caso, corresponde a los órganos parlamentarios interpretar sus normas internas y, aun en el supuesto de que esta interpretación de la segunda votación pudiera resultar discutible, se trataría de una interpretación favorecedora del ius ad officium de los parlamentarios, al fomentar y no restringir su derecho al voto, disipando cualquier duda que pudiera existir; y con “expreso sustento en el artículo 55.2 del RAM”, que atribuye a la Presidencia la competencia para “cumplir y hacer cumplir el Reglamento y, en el ejercicio de sus facultades de ordenación y dirección de los debates, interpretarlo en los casos de duda y suplirlo en los casos en los que aprecie alguna omisión”. Precisándose que, por lo demás, ambas votaciones registraron una mayoría de votos favorables a la aprobación de la Ley, de manera que “aun cuando quienes encontrándose presentes y pudiendo votar voluntariamente no lo hicieron, el resultado aprobatorio habría permanecido invariable, en el sentido de quedar aprobada la ley, ya que en ningún caso podría haber habido más votos negativos que positivos”.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se concluye que la ley impugnada quedó aprobada con todos los requisitos legalmente previstos, y se solicita que se dicte sentencia desestimando el recurso de inconstitucionalidad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mismo día 8 de marzo de 2021, el presidente de la Asamblea de Madrid comunicó a este tribunal que el Pleno de la Asamblea había acordado personarse y formular alegaciones en este procedimiento. En consecuencia, el día 10 de marzo de 2021, los letrados de la Cámara registraron otro escrito solicitando que se dicte sentencia desestimatoria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respecto de los “antecedentes de hecho”, se recuerda que la mesa de la Cámara adoptó, en el contexto de la pandemia y emergencia sanitaria generada por la crisis de la covid-19, diversas medidas, contando siempre con el parecer favorable de la junta de portavoces. Entre ellas se adopta la decisión de 9 de junio de 2020, que autorizaba “[p]ara la reunión del día 18 de junio y sucesivas, […] la presencia de setenta diputados, más los miembros del Consejo de Gobierno”, distribuidos proporcionalmente entre los grupos en los términos que el propio acuerdo especifica. Dicho acuerdo fue normal y pacíficamente aplicado no solo en la sesión de 18 de junio, sino también en las sucesivas de 25 de junio, 2, 9 y 16 de julio, y 14 y 15 de septiembre. Sobre la sesión del día 1 de octubre de 2020 se subraya que se ajustó a las condiciones incluidas en dicho acuerdo, que en ningún caso había sido cuestionado o puesto en tela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pone de manifiesto que el acuerdo de tramitar el proyecto controvertido en lectura única fue adoptado por los cauces reglamentarios: a propuesta del Consejo de Gobierno, autor del proyecto de ley, y por acuerdo del Pleno, previa admisión a trámite por parte de la mesa, con la conformidad de la junta de portavoces, y tras inadmitirse la solicitud de reconsideración solicitada por el portavoz de un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orden de cosas, y en lo relativo a la alegada falta de quorum, resalta el escrito que, durante la sesión plenaria del día 1 de octubre, existía quorum. Así lo acredita el listado de asistentes certificado por los servicios de la Cámara, como es habitual, en el primer punto del orden del día con votación (que fue la tramitación en lectura única), inmediatamente anterior al punto relativo al debate y aprobación del proyecto de ley 1/20. Al llegar la votación de este último punto “no todos los diputados hicieron uso de su derecho de voto, realizando una abstención pasiva al no pulsar siquiera el botón de presencia, por lo que el panel de votación reflejó el siguiente resultado: presentes, cincuenta y cinco; sí, treinta y seis; no, diecinueve; abstenciones, cero. Por tanto, quedó aprobada la Ley 1/2020. Ante las dudas manifestadas en la votación, en la sesión de la tarde, una vez comprobada la presencia de los setenta diputados se sometió de nuevo a votación el proyecto de ley. […] Durante el acto de votación, un número indeterminado de diputados abandonaron de manera predeterminada y concertada el hemiciclo para impedir la aprobación de la Ley. Se adjuntan el ‘Diario de Sesiones’ […] y los videos de la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los vicios en el iter legislativo, sin hacer ningún reproche material o sustantivo a la Ley impugnada, esta parte se refiere al carácter restrictivo de los vicios procedimentales como fundamento de la inconstitucionalidad de las leyes, recordando que, según la STC 99/1987, de 11 de junio, FJ l a), “la inobservancia de los preceptos que regulan el procedimiento legislativo podría viciar de inconstitucionalidad la ley cuando […] altere de modo sustancial el proceso de formación de voluntad en el seno de las Cámaras”; doctrina confirmada —entre otras— por la STC 204/2011, de 15 de diciembre, FJ 4, al afirmar que no basta cualquier infracción de los reglamentos parlamentarios para determinar la inconstitucionalidad de una ley “sino que es necesario ‘examinar, ante todo, si se ha producido o no vulneración de la normativa reguladora de la elaboración de las leyes para, solo después, y en su caso, valorar si aquella vulneración pudo tener relevancia para la formación de la voluntad legisladora’ ([STC] 97/2002, de 25 de abril, FJ 2). En consecuencia, a efectos de una eventual declaración de inconstitucionalidad, lo relevante es determinar las consecuencias que la inobservancia del procedimiento haya podido tener sobre el proceso de formación de la voluntad en el seno de las Cámaras”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esa doctrina, la representación procesal de la Asamblea de Madrid sostiene que no ha existido vulneración alguna del procedimiento reglamentariamente establecido para la aprobación de la ley; y que el procedimiento adoptado no ha afectado al proceso de formación de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de esos argumentos, se afirma que para los recurrentes la mera utilización del procedimiento de lectura única vicia de inconstitucionalidad la Ley recurrida; algo que, a su juicio, conduce inexorablemente al absurdo de sostener que todas las leyes aprobadas por esa vía serían inconstitucionales. Frente a tal visión, se recuerda que el procedimiento de lectura única existe en muchos otros reglamentos parlamentarios; y que, en particular, la regulación de dicho procedimiento en el RAM no solo es reciente, al haber sido aprobada por el Pleno de la Asamblea en su sesión de 7 de febrero de 2019; sino que fue adoptada por unanimidad de todos los grupos de la Cámara, y no ha sido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hace hincapié en que resulta contradictorio que los recurrentes invoquen el Reglamento parlamentario como parámetro de la constitucionalidad de la norma controvertida, para después alegar que no debió aplicarse el procedimiento previsto en sus artículos 167 a 170. A juicio de los letrados de la Asamblea, si “el Reglamento parlamentario integra el bloque de la constitucionalidad y constituye parámetro de la constitucionalidad de las leyes”, como afirman los recurrentes y confirma la doctrina de este tribunal (con cita, entre otras, de la STC 185/2016, de 3 de noviembre, FJ 5), “solo su inobservancia puede ser, en su caso, constitutiva de inconstitucionalidad”. De donde resulta que lo decisivo no es el procedimiento utilizado en la tramitación de la ley impugnada, sino el respeto de las previsiones reglamentarias que regulan dicho procedimiento. Y tal respeto se da en el caso controvertido, de modo que “ningún reproche cabe efectuar a la norma recurrida en cuanto a los órganos legitimados para solicitar, proponer y decidir la tramitación en lectura única”; tampoco es objetable el debate en Pleno acerca de la ley (según consta en el “Diario de Sesiones”), ni el contenido de la misma, que no excede los límites materiales expresamente fijados para acudir a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condiciones que permiten utilizar esta posibilidad (que “la naturaleza del proyecto o la proposición de ley lo aconseje o su simplicidad de formulación lo permita”, art. 167.1 RAM), también se recuerda que, según la doctrina de este tribunal, tales supuestos habilitantes son “cláusulas o conceptos abiertos que confieren a los órganos de la Cámara un amplio margen de apreciación o de interpretación en su aplicación. De modo que la valoración sobre la oportunidad de acudir a este tipo de procedimiento” corresponde a esos órganos, sin que pueda “este tribunal, por respeto a la autonomía de las Cámaras sobre los procedimientos que se desarrollan en su seno (STC 49/2008, FJ 15), reemplazar la voluntad y el criterio de oportunidad de la mesa […] al proponer la tramitación de la proposición de ley por el procedimiento en lectura única, ni la del Pleno de adoptar dicha decisión” (STC 185/2016, de 3 de noviembre, FJ 5; también se invoca la STC 139/2017, FJ 7). Para los letrados de la Cámara, esta doctrina basta por sí misma para descartar las alegaciones de los recurrentes sobre la inadecuación de ese procedimiento para adoptar una ley de naturaleza compleja, y enorme repercusión, sobre la que no existe amplio consenso.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imposibilidad de presentar enmiendas al proyecto de ley, la misma resulta directamente de la aplicación del artículo 167.2 RAM. Una disposición similar, alegan, a la que existe en otros ordenamientos autonómicos, y que el propio Tribunal admitió en su STC 153/2016, de 22 de septiembre, FJ 3 c). Responden también los letrados de la Asamblea a las alegaciones que invocan las SSTC 103/2008, de 11 de septiembre, y 114/2017, de 17 de octubre, remarcando las diferencias entre esos supuestos y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letrados de la Asamblea de Madrid discuten la alegada falta de quorum arguyendo que en rigor debería hablarse de “la pretendida falta de quorum provocada”. En realidad, afirman, tal circunstancia resulta del empleo de tácticas obstruccionistas que intentaron impedir la votación de la Ley, aprovechando las medidas adoptadas a raíz de la pandemia para garantizar la seguridad y salud de los parlamentarios y de los servicios de la Cámara (entre otras, reducción del número de los diputados y de ujieres presentes en el salón de plenos, evitando presencias no imprescindibles y apertura de puertas en el hemiciclo para facilitar su ventilación).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letrados, una correcta comprensión de lo sucedido en las dos votaciones exige tener en cuenta que el sistema de votación electrónica de la Asamblea solo contabiliza como presentes a aquellos diputados que ejercen el derecho del voto (ya sea en sentido favorable, desfavorable o abstención), pero no a quienes, pese a estar presentes en la sala no quieren —legítimamente— ejercer su derecho a voto. Por todo ello, “no cabe aceptar la alegación de los recurrentes de que no había quorum por la mera circunstancia de que el panel electrónico de votación registró cincuenta y cinco diputados presentes, situándose en sesenta y siete la mayoría de los miembros del Pleno y, por tanto, las exigencias estatutarias y reglamentarias de quorum. No habiendo quedado acreditado la falta de quorum, el cual se presume, salvo que se demuestre lo contrario (artículo 118.2 del Reglamento), la votación fue plenamente válida y la Ley fue aprobada por mayoría (treinta y seis votos a favor y diecinueve en contra), por lo que no cabe considerar la existencia de defectos en el proceso de formación de la voluntad de la Cámara que sean constitutivos de la aducida inconstitucionalidad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letrados, esta voluntad obstruccionista se ve confirmada con el abandono masivo del hemiciclo por parte de un gran número de parlamentarios en la sesión de tarde cuando se somete de nuevo a votación la iniciativa, en clara contravención del artículo 120 RAM, según el cual “[d]urante el desarrollo de la votación […] ningún diputado podrá entrar en el salón de sesiones, ni abandonarlo, salvo caso de fuerza mayor y con la venia de la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reitera el rechazo a la “alteración del orden del día por la Presidencia” denunciada por los recurrentes. Como ya se ha apuntado, la Presidencia de la Cámara trató de despejar las dudas planteadas por los grupos discrepantes, que habían vertido sospechas de ilegitimidad de los acuerdos válidamente adoptados por la mañana, repitiendo la votación en el momento en que se volvió a comprobar que había quorum, momento en que los grupos discrepantes reiteraron su actitud obstruccionista abandonando masivamente el hemiciclo. Sostiene la representación de la Cámara que la Presidencia, en el ejercicio de sus facultades reglamentarias de ordenación y dirección de los debates, interpretando el Reglamento en caso de duda, sometió la cuestión a nueva votación, aunque la anterior fuese plenamente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representación de la Asamblea hace algunas consideraciones “[a]cerca de la autonomía parlamentaria”. Autonomía que —contra lo que parecen apuntar los recurrentes— permite asimilar la Asamblea de Madrid a otros Parlamentos que, como exigen el Convenio europeo de derechos humanos y la jurisprudencia del Tribunal Europeo de Derechos Humanos, son “foro de deliberación y debate en el que la aplicación de los principios democráticos exige, también, respetar las decisiones democrática y legítimamente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febrero de 2024,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interpuesto de conformidad con el art. 32 LOTC por la representación de cincuenta y ocho senadores y senadoras del Grupo Parlamentario Socialista del Senado, tiene por objeto la Ley de la Asamblea de Madrid 1/2020, de 8 de octubre, por la que se modifica la Ley 9/2001, de 17 de julio, del suelo de la Comunidad de Madrid, para el impulso y reactivación de la actividad urbanística, publicada en el “Boletín Oficial de la Comunidad de Madrid” núm. 251, de 15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insta la declaración de inconstitucionalidad de dicha Ley por la concurrencia de vicios de inconstitucionalidad formal asociados a la limitación de la potestad de enmienda que deriva del recurso al procedimiento de lectura única del art. 167.2 RAM y a la insuficiencia del quorum en la votación destinada a aprobar la Ley. Ambas circunstancias habrían derivado en la lesión de los arts. 1.1, 9.3 y 23.2 CE. Por su parte, las representaciones de la Comunidad de Madrid y de la Asamblea de Madrid interesan la desestimación del recurso, negando la existencia de vicio procedimental alguno y, por tanto, la posibilidad de afectación de la Ley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Observaciones sobre la pervivencia del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la interposición del recurso de inconstitucionalidad núm. 231-2021, en el “Boletín Oficial del Estado” del 21 de marzo de 2023 fue publicada la Ley de la Asamblea de Madrid 11/2022, de 21 de diciembre, de medidas urgentes para el impulso de la actividad económica y la modernización de la administración de la Comunidad de Madrid, que contiene una disposición derogatoria única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Quedan derogadas cuantas disposiciones de igual o inferior rango se opongan a lo establecido en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particular quedan derogadas las siguientes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Ley 1/2020, de 8 de octubre, para el impulso y reactivación de la actividad urbanística, por la que se modifica la Ley 9/2001, de 17 de julio, del suelo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Ley objeto de este proceso ha quedado enteramente derogada por una ley posterior. Por este motivo, antes de entrar a analizar los concretos vicios de inconstitucionalidad alegados por los recurrentes en su demanda, debemos recordar, citando el fundamento jurídico 1 del ATC 147/2009, de 12 de mayo, que este tribunal viene manteniendo que, en el caso de recursos de inconstitucionalidad como el que ahora nos ocupa, “puede decirse que por regla general la modificación, derogación o pérdida de vigencia de los preceptos legales controvertidos conlleva la extinción del objeto del proceso constitucional (al respecto, STC 196/1997, de 13 de noviembre, FJ 2)”. Ello se aplica en particular cuando nos encontramos ante impugnaciones basadas en motivos sustantivos, como puede ser la vulneración de derechos fundamentales, en cuyo caso, la sola constatación de que la redacción impugnada ha dejado de estar en vigor determina, como regla general, la pérdida sobrevenida de objeto del recurso de inconstitucionalidad [por todas, STC 140/2016, de 21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recordábamos en la STC 10/2023, de 23 de febrero, FJ 2, a esta regla general válida para los recursos de inconstitucionalidad, sin embargo, le acompañan dos excepciones que se identifican claramente en nuestra jurisprudencia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refiere a la impugnación, mediante recurso abstracto, de la constitucionalidad de los decretos-leyes por falta de concurrencia del presupuesto habilitante (ex art. 86.1 CE). En estos casos una reiterada jurisprudencia sostiene que la modificación legislativa posterior del decreto-ley impugnado, no impide a la jurisdicción constitucional controlar si la potestad reconocida al Gobierno por el art. 86.1 CE se ejerció siguiendo los requisitos establecidos en dicho precepto constitucional. La razón de ser del mantenimiento del interés del recurso y, por tanto, de la conservación del objeto del mismo, es asegurar que el Tribunal vele “por el recto ejercicio de la potestad de dictar decretos-leyes, dentro del marco constitucional, decidiendo la validez o invalidez de las normas impugnadas, sin atender a su vigencia o derogación en el momento en que se pronuncia el fallo [SSTC 31/2011, de 17 de marzo, FJ 2, y 182/2013, de 23 de octubre, FJ 2 B)]” (STC 34/2017, de 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excepción se identifica en materia de impugnaciones de base competencial, que se articulan a través del recurso de inconstitucionalidad dirigido contra una norma con rango de ley posteriormente derogada o modificada. Aquí, la posición de la jurisprudencia constitucional se basa en el mismo principio sobre la pervivencia del objeto del recurso que inspira la excepción relativa al recurso contra decretos-leyes. En estos supuestos, el mantenimiento del objeto del recurso dependerá de si la nueva normativa, sustitutoria de la impugnada, viene a plantear o no los mismos problemas competenciales señalados en el recurso de inconstitucionalidad [por todas, STC 134/2011, de 20 de julio, FJ 2 b)]. Si los problemas competenciales subsisten, ello justifica la pervivencia del objeto del recurso y de la competencia para resolverlo del Tribunal porque “la función de preservar los ámbitos respectivos de competencias no puede quedar enervada por la sola derogación o modificación de las disposiciones cuya adopción dio lugar al litigio” (STC 18/2016, de 4 de febrero, FJ 2, y jurisprudencia allí citada). Por ello,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134/2011,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Existen algunos otros supuestos en los que, pese a que no concurría, a priori, ninguna de las excepciones previstas respecto de la pérdida sobrevenida de objeto de un recurso de inconstitucionalidad, como en la STC 153/2016, de 22 de septiembre, el Pleno del Tribunal decidió continuar con su tramitación. En este supuesto el Tribunal consideró que debía conocer del asunto en ejercicio de su «“función esencial de […] garantizar ‘la primacía de la Constitución’ (art. 27.1 LOTC) y asegurar en todo momento, sin solución de continuidad, el correcto funcionamiento del sistema de producción normativa preconizado por la Norma fundamental, depurando y expulsando del ordenamiento las normas impugnadas que se aparten de dicho sistema, con independencia de que se encuentren o no en vigor cuando se declara su inconstitucionalidad. Es la pureza misma del ordenamiento jurídico la que se ventila en esta sede jurisdiccional, y ello ha de decidirse en términos de validez o invalidez ex origine de las normas impugnadas, sin atender a su vigencia o derogación en el momento en que se pronuncia el fallo constitucional” (STC 136/2011, de 13 de septiembre, FJ 2)». Sin embargo, a diferencia de lo que allí ocurría, el presente recurso de inconstitucionalidad se basa únicamente en elementos procedimentales que pueden haber vulnerado el art. 23.2 CE. Este mismo objeto es el que ha sido planteado en tres recursos de amparo, los núm. 27-2021, 29-2021 y 31-2021, interpuestos, respectivamente, por diputados y diputadas del Grupo Parlamentario Más Madrid, del Grupo Parlamentario Unidas Podemos-Izquierda Unida-Madrid en Pie, y del Grupo Parlamentario Socialista, todos de la Asamblea de Madrid, por lo que la vulneración del derecho fundamental afectado por la actuación de los órganos de la Asamblea de Madrid será, en su caso, restituida en aquellos procesos, especialmente diseñados para la tutela de los derechos y libertades fundamentales, también en la tramitación legislativa a través del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parecía acogerse a la regla general fijada por el Tribunal Constitucional en su doctrina relativa a la pérdida sobrevenida de objeto la más reciente STC 44/2023, de 9 de mayo, en que se resolvía el recurso de inconstitucionalidad interpuesto contra determinados preceptos de la Ley Orgánica 2/2010, de 3 de marzo, de salud sexual y reproductiva y de la interrupción voluntaria del embarazo, y en particular contra su disposición final segunda, de modificación de la Ley 41/2002, de 14 de noviembre, básica reguladora de la autonomía del paciente y de derechos y obligaciones en materia de información y documentación clínica. Con posterioridad a la interposición de aquel recurso de inconstitucionalidad, se produjeron modificaciones sobrevenidas de las leyes impugnadas, hecho que provocó que el Tribunal se preguntara sobre la necesidad de continuar con su estudio o, en cambio, decidir que, al menos parcialmente, se había producido una pérdida sobrevenida del objeto del recurso y por tanto no era necesario pronunciarse sobre los vicios de constitucionalidad alegados. No obstante, el Tribunal señaló que no se trataba de valorar el efecto del principio de sucesión en el tiempo de las normas, sino de enjuiciar la constitucionalidad de un cambio de modelo en la regulación de la salud sexual y reproductiva y de la interrupción voluntaria del embarazo de las mujeres. Así, independientemente de las modificaciones legislativas acaecidas, el Tribunal Constitucional creyó necesario pronunciarse sobre el fondo del asunto. Ninguna razón equivalente, o de interés público, está presente en el recurso de inconstitucionalidad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 aplicación de los criterios seguidos por la doctrina reiterada de este tribunal, hemos de apreciar la desaparición del objeto del recurso en relación con las vulneraciones constitucionales invocadas por los recurrentes respecto de la existencia de vicios procedimentales en la aprobación de la Ley de la Asamblea de Madrid 1/2020, de 8 de octubre, por la que se modifica la Ley 9/2001, de 17 de julio, del suelo de la Comunidad de Madrid, para el impulso y reactivación de la actividad urbanística. Las quejas alegadas han desaparecido sobrevenidamente al haber sido derogada la ley resultante por una regulación posterior, sin que concurra, tampoco, ninguno de los supuestos que contempla la doctrina de este tribunal para justificar el enjuiciamiento de normas legales derogadas.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extinguido, por pérdida sobrevenida del objeto, el presente recurso de inconstitucionalidad núm. 231-2021, promovido por más de cincuenta senadores y senadoras del Grupo Parlamentario Socialista, contra la Ley 1/2020, de 8 de octubre, por la que se modifica la Ley 9/2001, de 17 de julio, del suelo de la Comunidad de Madrid, para el impulso y reactivación de la actividad urbanística.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