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12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en el recurso de amparo núm. 6168-2021, promovido por don Noureddine El Moumni,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septiembre de 2021, don Noureddine El Moumni, representado por el procurador de los tribunales don Argimiro Vázquez Guillén, bajo la dirección de la letrada doña Greta Komini, formuló demanda de amparo contra el auto del Pleno de la Sala de lo Penal de la Audiencia Nacional núm. 50/2021, de 20 de julio, por el que se desestima el recurso de súplica núm. 49-2021 interpuesto contra el auto de la Sección Primera de la Sala de lo Penal de la Audiencia Nacional de 22 de junio de 2021, pronunciado en el rollo de sala núm. 50-2020.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31 de enero de 2024, el magistrado don Ramón Sáez Valcárcel comunicó a los efectos oportunos su voluntad de abstenerse de intervenir en el conocimiento del recurso de amparo antes indicado, de conformidad con los arts. 80 de la Ley Orgánica del Tribunal Constitucional (LOTC) y 219.11 de la Ley Orgánica del Poder Judicial (LOPJ), por entender que concurría la causa contemplada en este último precepto (haber resuelto el pleito o causa en anterior instancia), por haber formado parte, en su condición de integrante del Pleno de la Sala de lo Penal de la Audiencia Nacional, del órgano judicial que dictó el auto núm. 50/2021, de 20 de julio, impugnado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Sala Segunda del Tribunal Constitucional, don Ramón Sáez Valcárcel, en virtud de lo previsto en los arts. 80 LOTC y 221.4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6168-2021,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