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25</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22 de marzo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la magistrada doña Concepción Espejel Jorquera, presidenta, y la magistrada doña María Luisa Segoviano Astaburuaga, en el recurso de amparo núm. 2394-2022, promovido por doña Pilar Gismera Catalinas contra sentencia y providencia de la Sala de lo Contencioso-Administrativo del Tribunal Supremo en recurso ordinario 276-2020,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2394-2022 se impugnan la sentencia 1413/2021, de 1 de diciembre y providencia de fecha 17 de febrero de 2022, dictadas ambas por la Sección Sexta de la Sala de lo Contencioso-Administrativo del Tribunal Supremo que resuelven el recurso contencioso administrativo frente a la resolución de 25 de junio de 2020 dictada por el Pleno del Consejo General del Poder Judicial que desestimó recurso de alzada núm. 365-2019 interpuesto contra la resolución de la comisión disciplinaria del Consejo de 17 de julio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de 20 de marzo de 2024 el magistrado don Cándido Conde-Pumpido Tourón comunicó a los efectos oportunos que se abstenía de intervenir en el antes indicado recurso de amparo, de conformidad con el art. 80 de la Ley Orgánica del Tribunal Constitucional (LOTC), por concurrir la causa de abstención prevista en el artículo 219.15 de la Ley Orgánica del Poder Judicial (LOPJ).</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Cándido Conde-Pumpido Tourón magistrado de esta Sección Primera del Tribunal Constitucional, la Sección, en virtud de lo previsto en el art. 219.15 LOPJ, supletoria de la Ley Orgánica del Tribunal Constitucional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2394-2022,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marzo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