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2794-2020, promovido por don Ramón Hernández González, representado por el procurador de los tribunales don Jorge Francisco Lecuona Torres y defendido por el letrado don Raúl José Alonso Fernández, contra el auto de 17 de abril de 2020, del Juzgado de Primera Instancia núm. 3 de Santa Cruz de Tenerife —dictado en ejecución hipotecaria núm. 293-2014— que desestimó el incidente de nulidad de actuaciones promovido contra el decreto de 22 de enero de 2020, que a su vez desestimaba el recurso de reposición contra la diligencia de ordenación de 8 de noviembre de 2019, por la que se ordenó la entrega de posesión de la finca ejecutada a la entidad cesionaria del remate.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julio de 2020, don Jorge Francisco Lecuona Torres, procurador de los tribunales, actuando en nombre y representación de don Ramón Hernández González y bajo la dirección del letrado don Raúl José Alonso Fernández, interpuso recurso de amparo contra las resoluciones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sustento a la demanda de amparo, según se desprende de la misma y de la documentación que la acompaña, son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de amparo fue parte interviniente en el procedimiento de ejecución hipotecaria núm. 293-2014, seguido ante el Juzgado de Primera Instancia núm. 3 de Santa Cruz de Tenerife, como representante legal de la entidad ejecutada, Islasur Araya,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dictado el 25 de septiembre de 2014 fue despachada ejecución frente a la entidad Islasur Araya, S.L., siendo parte ejecutante la entidad Caixabank, S.A. Mediante decreto de 25 de febrero de 2016 fue convocada subasta pública para la venta de la finca hipotecada, subasta que terminó con la mejor puja a favor de la parte ejecutante, que se reservó el derecho de ceder el remate a un tercero. El 21 de marzo de 2017 se celebró ante el juzgado comparecencia de cesión del remate de la ejecutante, la entidad Caixabank, S.A., a favor de la entidad Buildingcenter, S.A.U.; cesión que, previos los trámites correspondientes —tasación de costas, liquidación de intereses y transcurso del plazo legal concedido al deudor ejecutado para presentar mejor postor— resultó aprobada por decreto de 12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8 de noviembre de 2019, la letrada de la administración de justicia del juzgado acordó que se llevasen a cabo los trámites precisos para la entrega de posesión de la finca objeto del procedimiento a la entidad cesionaria del remate, Buildingcenter, S.A.U.; y autorizó expresamente a la comisión judicial, para el caso de que fuera necesario, por encontrarse cerrado el inmueble o no consentirse la entrada, a que se adoptasen las medidas que fueran necesarias, incluso el auxilio de la fuerza pública. A pie de recurso se hacía constar, como modo de impugnación, el recurso de reposición en el plazo de cinco días, ante la misma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reposición, el recurrente alegó vulneración del art. 675.2 de la ley de enjuiciamiento civil (LEC) en relación con el 661.2 LEC. De acuerdo con el escrito de recurso, la finca objeto de ejecución estaba ocupada por él y se habían incumplido dos previsiones legales: (i) artículo 661.2 LEC, dado que antes de anunciarse la subasta resultaba necesario que el juzgado declarara que el ocupante u ocupantes no tenían derecho a permanecer en el inmueble; y (ii) artículo 675.2 LEC dado que, no habiéndose cumplido con lo previsto en el art. 661.2 LEC, el adquirente de la finca solo podía pedir el lanzamiento de los ocupantes sin título o con título insuficiente en el plazo de un año desde la adquisición del inmueble —plazo que ya se había superado desde la aprobación del título de adquisición del inmueble por parte de la entidad Buildingcenter, S.A.U. (decreto aprobando la cesión del remate)— y, a partir de ahí, la pretensión de desalojo solo podría hacerse valer en el juicio que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decreto de 22 de enero de 2020, la letrada de la administración de justicia desestimó el recurso de reposición. Argumentaba que el art. 661.2 LEC regula el procedimiento de ejecución cuando existen personas distintas del ejecutado que ocupen el inmueble embargado, pero que dicha situación no era la que acontecía en este procedimiento, porque el recurrente no era persona distinta al ejecutado, sino que lo representaba como administrador. Así quedaba patente en la recepción de las notificaciones y en la presentación del escrito de impugnación de costas, trámites que se realizaron con el recurrente y que están exclusivamente dispuestos para las partes intervinientes. A pie de recurso se declaraba que la resolución era firme y contra ella no cabía recurso alguno, sin perjuicio de reproducir la cuestión en la primera audiencia ante el Tribunal y, si no fuera posible por el estado de los autos, mediante escrito antes de que se dictase la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interpuso incidente de nulidad de actuaciones. Argumentaba que el fundamento del pie de recurso, el art. 454 bis.1 LEC, había sido declarado inconstitucional por el Pleno del Tribunal Constitucional —STC 15/2020, de 28 de enero—, por vulnerar el derecho a la tutela judicial efectiva, al hacer de las decisiones de los letrados de la administración de justicia un espacio inmune al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17 de abril de 2020, el Juzgado de Primera Instancia núm. 3 de Santa Cruz de Tenerife declaró que no había lugar a la nulidad de actuaciones; pues, si bien era cierto que el decreto de 22 de enero de 2020 no le había dado recurso, también lo era que esta indicación resultaba conforme con la regulación contenida en la propia Ley de enjuiciamiento civil, en concreto con lo dispuesto en el art. 454, que vetaba la posibilidad de interponer recurso contra el decreto resolutorio de un recurso de reposición. El órgano judicial añadía, que el decreto impugnado estaba suficientemente motivado y la decisión estaba adaptada a las circunstancias y vicisitudes observadas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diligencia de ordenación de 18 de junio de 2021, la letrada de la administración de justicia ordenó llevar a efecto los trámites precisos para entregar la posesión de la vivienda ejecutada a la entidad cesionaria del remate; y el 8 de julio de 2021 se llevó finalmente a efecto dicha entrega de la posesión a favor de la entidad Buildingcenter,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el auto de 17 de abril de 2020, del Juzgado de Primera Instancia núm. 3 de Santa Cruz de Tenerife, que desestima el incidente de nulidad de actuaciones. El recurrente le atribuye la vulneración de su derecho a la tutela judicial efectiva (art. 24.1 CE), habida cuenta de que la denegación de la nulidad de actuaciones se fundó en la aplicación de un precepto —art. 454 bis.1, párrafo primero de la Ley de enjuiciamiento civil, en la redacción dada por la Ley 37/2011, de 10 de octubre, de medidas de agilización procesal— que había sido ya declarado inconstitucional por el Tribunal Constitucional en la STC 15/2020. Señala que él mismo adujo tal circunstancia en el escrito en que se promovía el incidente de nulidad. Se solicita el otorgamiento del amparo, la declaración de que la resolución impugnada vulneró el derecho de acceso a los recursos legalmente establecidos del recurrente y la anulación de dicha resolución; y con objeto de restablecerle en la integridad de su derecho, retrotraer el procedimiento al momento inmediato posterior al dictado del decreto de 22 de enero de 2020, concediéndole el plazo para presentar recurso contra el mismo. Por otrosí, el recurrente solicita la inmediata suspensión del lanzamiento hasta la resolución definitiva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13 de diciembre de 2021, acordó la admisión a trámite del recurso de amparo y la formación de pieza separada para la sustanciación del incidente de suspensión. Apreció como motivo de especial trascendencia constitucional [art. 50.1 de la Ley Orgánica del Tribunal Constitucional (LOTC)] que la posible vulneración del derecho fundamental que se denuncia pudiera provenir de la ley o de otra disposición de carácter general [STC 155/2009, de 25 de junio, FJ 2 c)] y que el órgano judicial pudiera haber incurrido en una negativa manifiesta del deber de acatamiento de la doctrina de este tribunal [STC 155/2009, FJ 2 f)]. De conformidad con el art. 51 LOTC se acordó dirigir atenta comunicación al Juzgado de Primera Instancia núm. 3 de Santa Cruz de Tenerife a fin de que, en el plazo que no exceda de diez días, remita certificación o fotocopia adverada de las actuaciones correspondientes a la ejecución hipotecaria núm. 293-2014, debiendo previamente emplazarse, para que en el plazo de diez días puedan comparecer, si lo desean, en el recurso de amparo a quienes han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misma Sección Segunda de este tribunal, en una segunda providencia también de 13 de diciembre de 2021, formó la oportuna pieza para la tramitación del incidente de suspensión y concedió al recurrente y al Ministerio Fiscal el plazo común de tres días para que alegasen lo que estimasen pertinente sobre la suspensión. El Ministerio Fiscal, por escrito registrado el 4 de enero de 2022, interesó la suspensión, pues tratándose del lanzamiento de un inmueble que constituye el domicilio del demandante, el perjuicio que se le produciría sería irreparable. El recurrente, por escrito registrado el 16 de diciembre de 2021, pone de manifiesto que el incidente de suspensión ya carece de objeto, toda vez que el lanzamiento se ejecutó el 8 de julio de 2021. En el ATC 9/2022, de 24 de enero, la Sala Primera de este tribunal acordó el archivo, por pérdida de objeto, del incidente de suspensión en el recurso de amparo 2794/2020.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17 de febrero de 2022, se tuvieron por recibidas las actuaciones del Juzgado de Primera Instancia núm. 3 de Santa Cruz de Tenerife y, a tenor de lo dispuesto en el art. 52 LOTC, se dio vista de todas las actuaciones al Ministerio Fiscal, al recurrente de amparo y a la parte personada, para que dentro de dicho término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dentro del plazo conferido al efecto, presentó sus alegaciones interesando la estimación del recurso. Declara que, partiendo de la doctrina sentada en las SSTC 58/2016, de 17 de marzo; 72/2018, de 21 de junio; 34/2019, de 14 de marzo, y 15/2020, de 28 de enero —particularmente esta última—, y teniendo en cuenta que la resolución por la que el juzgado de primera instancia resuelve el incidente de nulidad de actuaciones es posterior a esta última sentencia, se puede afirmar que el órgano judicial ha obviado los efectos que produce la declaración de nulidad de una norma por el Tribunal Constitucional y se ha producido la vulneración del derecho a la tutela judicial, al confirmar el decreto de 22 enero 2020 y no conceder el recurso procedente contra el mismo. El Ministerio Fiscal añade que, en el auto de desestimación del incidente, no se hace ninguna referencia a las alegaciones efectuadas por el recurrente en relación con la STC 15/2020 ya dictada, lo que le lleva a considerar que dicha resolución incurre en una motivación defectuosa que impide a las partes conocer las razones de la denegación efectuada y hace una selección inadecuada de la norma aplicable. Concluye declarando la vulneración del derecho a la tutela judicial efectiva en su vertiente de acceso a los recursos, causando indefensión prohibida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señala que, en el presente caso, se deben plantear los efectos que cabe anudar al otorgamiento del amparo, en la medida en que consta en actuaciones que ya se ha llevado a cabo el lanzamiento y la finca ha sido puesta en posesión del adjudicatario, siendo que no tendría ningún efecto práctico la concesión del plazo para recurrir, por lo que propone no retrotraer actuaciones, dado que podría afectar al derecho del tercer adquirente de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los arts. 2.1 y 2, y 3.1 del acuerdo de 17 de enero de 2023, del Pleno del Tribunal Constitucional, por el que se dispone la composición de las Salas y Secciones del Tribunal Constitucional, publicado en el “Boletín Oficial del Estado” de 19 de enero de 2023, el recurso es reasignado a la Sala Segunda de este tribunal al conservar la magistrada la ponencia que inicialmente le había sido repartida, lo que fue puesto en conocimiento de las partes mediante diligencia de ordenación de 20 enero de 2023 del secretario de justicia de la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4 de abril de 2024,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17 de abril de 2020, que desestima el incidente de nulidad de actuaciones interpuesto contra el decreto de 22 de enero de 2020, dictado por la letrada de la administración de justicia del Juzgado de Primera Instancia núm. 3 de Santa Cruz de Tenerife. El decreto declara su firmeza y, a pie de recurso, negaba que contra él cupiera recurso alguno; por su parte, el auto desestimaba el incidente de nulidad de actuaciones y afirmaba que el decreto impugnado resultaba conforme con lo establecido en el art. 454 bis.1 LEC, que veta la posibilidad de interponer recurso contra la resolución de la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han quedado expuestos con detalle los argumentos por los que la demanda aduce la lesión del derecho a la tutela judicial efectiva (art. 24.1 CE) en su dimensión de derecho de acceso a los recursos legalmente establecidos, y solicita la declaración de nulidad del auto de 17 de abril de 2020, que desestima el incidente de nulidad de actuaciones, y la retroacción de actuaciones al momento inmediato posterior al dictado del decreto de 22 de enero de 2020 por la letrada de la administración de justicia, a fin de que se conceda al demandante en amparo el plazo correspondiente para presentar contra el mismo recurso de revisión ante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presente recurso de amparo, por entender que existe vulneración del derecho a la tutela judicial efectiva (art. 24.2 CE) en su doble vertiente de acceso a los recursos legalmente establecidos y defectuosa motivación. A su parecer, el auto de 17 de abril de 2020 que desestima el incidente de nulidad de actuaciones ha impedido al recurrente el acceso al recurso de revisión ante la autoridad judicial, y ha incurrido en una motivación defectuosa al fundar esta decisión en una norma que había sido previamente declarada inconstitucional por este tribunal, pese a las alegaciones del recurrente relativas a dicha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art. 454 bis.1, párrafo primero, LEC y su relación con el derecho a la tutela judicial efectiva: STC 15/2020,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454 bis.1, párrafo primero, LEC disponía que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 La STC 15/2020, del Pleno de este tribunal, que estimó la cuestión interna de inconstitucionalidad núm. 2754-2019, declaró, precisamente, la inconstitucionalidad y nulidad de dicho precepto por vulnerar el derecho a la tutela judicial efectiva proclamado en el art. 24.1 CE, en la medida en que: (i) no permitía un control judicial directo, a través del recurso de revisión, de la generalidad de los decretos dictados en el proceso civil, en concreto de los decretos resolutorios de un recurso de reposición; y (ii) tampoco permitía un control judicial indirecto de estos decretos en todos los supuestos, pues podían darse situaciones en las que no existiera la posibilidad de reproducir la cuestión en un momento ulterior del proceso. En definitiva, el régimen de recursos articulado por el precepto no permitía descartar la eventualidad de que existieran supuestos en que la decisión del letrado de la administración de justicia quedara excluida por el legislador del control judicial —directo o indirecto—, especialmente en el proceso de ejecución civil, pese a que tales decisiones pudieran afectar a cuestiones relevantes, que atañen a la función jurisdiccional reservada en exclusiva a jueces y magistrados y que, por tanto, deben quedar sometidas a su posibilidad de control de acuerdo con el derecho a la tutela judicial efectiva sin indefensión que a todos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sentencia terminaba precisando que, al igual que se hizo en las SSTC 58/2016, FJ 7; 72/2018, FJ 4, y 34/2019, FJ 7, en tanto el legislador no se pronuncie, el recurso judicial procedente frente al decreto del letrado de la administración de justicia resolutivo de la reposición ha de ser el directo de revisión al que se refiere el propio art.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al caso: vulneración del derecho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mismos razonamientos que determinaron la nulidad del párrafo primero del art. 454 bis.1 LEC, efectuada por la STC 15/2020, son los que deben conducir a la estimación del presente recurso de amparo por vulneración del derecho a la tutela judicial efectiva (art. 24.1 CE), en su doble vertiente de: (i) derecho de acceso a los recursos legalmente establecidos, al haberse privado al demandante de amparo de hacer un uso efectivo del recurso directo de revisión frente al decreto de 22 de enero de 2020, y someter la cuestión al criterio de la autoridad judicial; y (ii) derecho a obtener un resolución motivada y fundada en Derecho; dado que, cuando se dicta el auto de 17 de abril de 2020, que desestima el incidente de nulidad de actuaciones, el órgano judicial insiste en la aplicación del art. 454 bis.1, párrafo primero LEC, a pesar de que el Tribunal Constitucional había dictado ya la STC 15/2020, declarando inconstitucional y nulo el precepto, y el propio recurrente había puesto de manifiesto esta circunstancia en su escrito de interposición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del otorgamiento del amparo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particulares circunstancias concurrentes en el presente caso aconsejan que llevemos a cabo una matización de los efectos que se derivan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expresamente solicita que se declare la nulidad del auto de 17 de abril de 2020 y se retrotraigan las actuaciones al momento inmediatamente posterior al decreto de 22 de enero de 2020, a los efectos de que le sea concedido el plazo correspondiente para presentar recurso directo de revisión frente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retroacción de actuaciones interesada por el recurrente en amparo plantea un problema evidente de seguridad jurídica dado que la finca objeto del proceso de ejecución ha sido adquirida legalmente por un tercero, la entidad Buildingcenter, S.A.U., al que se ha hecho ya entrega efectiva de su posesión. Esta circunstancia impide que el recurrente pueda obtener efecto jurídico alguno mediante la pretendida retroacción de actuaciones. En efecto, la cuestión que quedó resuelta mediante el decreto de 22 de enero de 2020 —que el recurrente en amparo pretende recurrir en revisión— se refería a la posibilidad de que se llevara a cabo su lanzamiento de la finca ejecutada y la correlativa entrega de posesión de dicha finca a su nueva adquirente. Consta en las actuaciones que tanto el lanzamiento como la entrega de posesión de la finca a su adquirente fueron efectivamente llevadas a cabo el 8 de julio de 2021. La situación jurídica creada mediante la entrega de posesión de la finca a quien la adquirió por título judicial (decreto aprobando la cesión del remate) no puede ser revertida por razones evidentes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ello, los efectos derivados de la estimación de la demanda habrán de limitarse: (i) a declarar que se ha producido la vulneración del derecho a la tutela judicial efectiva (art. 24.1 CE) del demandante en amparo, en su doble dimensión de derecho de acceso a los recursos legalmente establecidos y a obtener una resolución fundada en Derecho; y (ii) como medio para restablecer el derecho vulnerado, decretar la nulidad del auto de 17 de abril de 2020 que desestima el incidente de nulidad, así como del pie de recurso del decreto de 22 de enero 2020, en los términos que hicimos en la STC 54/2021 de 15 de marzo,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Ramón Hernández González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actor a la tutela judicial efectiva sin indefensión (art. 24.1 CE), en su doble dimensión de derecho de acceso a los recursos legalmente establecidos y a obtener una resolución fundada en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demandante en su derecho y, a tal fin, declarar la nulidad del pie de recurso del decreto de 22 de enero de 2020, dictado por la letrada de la administración de justicia del Juzgado de Primera Instancia núm. 3 de Santa Cruz de Tenerife, en el procedimiento de ejecución hipotecaria núm. 293-2014, y la nulidad del auto de 17 de abril de 2020, dictado por el mismo Juzgado de Primera Instancia núm. 3 de Santa Cruz de Tenerife, que declaró no haber lugar a la nulidad de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