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abril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8472-2022, promovido por Sociedad de Gestión de Activos Procedentes de la Reestructuración Bancaria, S.A.,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diciembre de 2022 el procurador de los tribunales don José Manuel Jiménez López, en nombre y representación de Sociedad de Gestión de Activos Procedentes de la Reestructuración Bancaria, S.A., y bajo la dirección del letrado don Miró Ayats Vergés, formuló demanda de amparo contra la providencia de fecha 24 de noviembre de 2022, dictada por la Sala de lo Contencioso-Administrativo del Tribunal Supremo en recurso de casación núm. 476-2022.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abril de 2024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(LOTC)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8472-2022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