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20 de mayo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don César Tolosa Tribiño, en el recurso de amparo núm. 6609-2023, promovido por doña Marta Cañadas Berrio, contra el auto de 8 de marzo de 2023 de la Sección Tercera de la Sala de lo Penal de la Audiencia Nacional y la providencia de 6 de octubre de 2023, que inadmitió a trámite la solicitud de nulidad de actuaciones, en el marco del procedimiento de la Fiscalía Europea núm. 40-2022,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día 18 de octubre de 2023 el procurador de los tribunales don Jose Ramón Couto Aguilar, en representación de doña Marta Cañadas Berrio, interpuso recurso de amparo contra el auto de 8 de marzo de 2023 de la Sección Tercera de la Sala de lo Penal de la Audiencia Nacional y contra la providencia de 6 de octubre de 2023, que inadmitió a trámite la solicitud de nulidad de actuaciones frente al anterior, dictados ambos en el marco del recurso de apelación núm. 300-2023, contra el auto de 11 de julio de 2023 del Juzgado Central de Instrucción núm. 6 en el procedimiento de Fiscalía Europea núm. 40-2022.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circunstancias del procedimiento de instancia que resultan relevantes de cara a la tramitación del presente recurso de amparo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22 de mayo de 2023, en el seno del procedimiento ante la Fiscalía Europea núm. 40-2022, seguido por un posible delito de fraude de subvenciones, se dictó decreto acordando requerir a la demandante de amparo para que prestase fianza por una cuantía total de 2 692 961,08 €, cantidad calculada en función de la pena de multa y la posible responsabilidad civil derivada del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decreto de la Fiscalía Europea fue objeto de impugnación por la representación procesal de doña Marta Cañadas Berrio alegándose, entre otros extremos, la pertinencia de reducir la fianza determinándola únicamente conforme a la responsabilidad civil derivada de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recurso fue desestimado por el Juzgado Central de Instrucción núm. 6 mediante auto fechado el 11 de julio de 2023. En lo que interesa al presente recurso de amparo la resolución judicial sostenía, respecto de la fianza, que: “el art. 127 octies del C.P. [Código penal] permite adoptar medidas cautelares para asegurar el futuro decomiso de los bienes y efectos del delito. En el mismo sentido el art. 53 de la LOFE [Ley Orgánica 9/2021, de 1 de julio, de aplicación del Reglamento (UE) 2017/1939 del Consejo, de 12 de octubre de 2017, por el que se establece una cooperación reforzada para la creación de la Fiscalía Europea] dispone que la finalidad de las medidas cautelares reales no solo puede incluir el aseguramiento de responsabilidades civiles, las multas y las costas, sino también como del decomiso que en el futuro pueda acordarse respecto de los efectos, instrumentos y productos del delito. También se requiere que exista una proporcionalidad y una ponderación en la aplicación de la medida. Debe existir una relación entre el delito que se está permitiendo (sic) y la carga que supone la adopción de la medida. En este caso, dada la gravedad del delito y la necesidad de la adopción de la medida, se entiende que el juicio de ponderación está suficientemente justificado. Esto implica que la medida tiene que ser acorde con lo que se está persiguiendo y buscando, es decir, que su adopción y su práctica debe de ceñirse estrictamente a aquello que se ha pedido, y para aquello para lo que se ha adoptado, y desde luego las medidas propuestas lo son en atención a todo lo ya expuesto”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Interpuesto recurso de apelación, en el que además se alegaba incongruencia omisiva por no haberse dado adecuada respuesta al motivo de impugnación relativo a la determinación de la fianza en función de la multa, fue dictado auto de 8 de septiembre de 2023 por la Sala de lo Penal de la Audiencia Nacional desestimando el recurso sobre la base a la siguiente argumentación relativa a la cuantía de la fianza: “la extensión de las fianzas viene expresamente regulada en el artículo 53 de la LOFE. Precisamente, en aplicación del meritado precepto la cantidad de 2 692 961,08 € se corresponde con la suma de 1 346 480,54 € de multa, más 673 240,27 € de responsabilidades civiles, más el tercio correspondiente, esto es, dentro del marco expresamente fijado por el precepto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Dicha resolución fue objeto de un incidente de nulidad de actuaciones en que se alegaba la vulneración del derecho a la presunción de inocencia en relación con la determinación de la fianza, además de esgrimirse la sentencia estimatoria del Tribunal Constitucional 69/2023, de 19 de junio de 2023, que denegaba la posibilidad de fijar la fianza en función de la multa que, en su caso, pudiese ser impuesta al investigado. El incidente fue inadmitido por providencia de 6 de octubre de 2023 señalando que la cuestión planteada ya fue resuelta en el auto cuya nulidad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demanda de amparo se plantea contra las resoluciones referenciadas en el encabezamiento alegando vulneración del derecho a la presunción de inocencia (art. 24.2 CE). Considera la demandante que el decreto de la Fiscalía Europea, posteriormente ratificado por el juez de garantías y por las resoluciones judiciales sucesivas, supone la vulneración del derecho a la presunción de inocencia ex art. 24.2 CE al haber acordado una fianza por un importe de dos millones de euros sin haberse tomado siquiera declaración como investigada y sin haber realizado una imputación formal de los hechos delictivos.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este tribunal de 12 de febrero de 2024, se admitió a trámite el recurso de amparo apreciando la concurrencia de una especial transcendencia constitucional (art. 50.1 de la Ley Orgánica del Tribunal Constitucional: LOTC), al plantear el recurso un problema o afectar a una faceta de un derecho fundamental sobre el que no hay doctrina de este tribunal [STC 155/2009, de 25 de junio, FJ 2 a)]. Además, se considera que la posible vulneración del derecho fundamental que se denuncia pudiera provenir de la ley o de otra disposición de carácter general [STC 155/2009,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da la instrucción de comunicar a la Sección Tercera de la Sala de lo Penal de la Audiencia Nacional y a la Fiscalía Europea en Madrid la admisión a trámite del recurso de amparo a fin de que, en plazo que no exceda de diez días, remitan testimonio íntegro de lo actuado en el recurso de apelación núm. 300-2023 y en el procedimiento Fiscalía Europea núm. 40-2022, respectivamente. También se insta a dirigir comunicación al Juzgado Central de Instrucción núm. 6 a fin de que, en plazo que no exceda de diez días, remita testimonio de las actuaciones correspondientes al expediente “Garantías procedimiento Fiscalía Europea núm. 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misma fecha la Sala acuerda formar pieza separada para la tramitación del incidente de suspensión cautelar de los pronunciamientos impugnados. Conforme determina el artículo 56 de la Ley Orgánica de este tribunal, se concede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febrero de 2024 tuvo entrada en el registro de este tribunal un escrito presentado por el procurador don Jose Ramón Couto Aguilar, en representación de doña Marta Cañadas Berrio, en el que desiste del recurso de amparo interpuesto, al haber accedido la Fiscalía Europea a su petición mediante decreto de 25 de octubre de 2023. En este decreto la Fiscalía fija como finanza únicamente la cantidad correspondiente a las responsabilidades civiles, esto es, la cantidad de 673 240,27 €, sin incluir las eventuales penas de multa y sin incrementar dicha cantidad en un tercio. La recurrente interesa, por tanto, que se dicte auto por el que se acuerde el archivo del presente proceso de amparo por desistimiento. El día 20 de febrero de 2024, tras ser requerido poder especial para el desistimiento a la representación procesal de la parte, la recurrente en amparo presenta un nuevo escrito, firmado el día 19, ratificando su voluntad personal de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19 de febrero de 2024 se acordó dar traslado al Ministerio Fiscal por plazo de tres días para que alegara lo que estimara pertinente sobre el escrito de desistimiento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28 de febrero de 2024, la Abogacía del Estado solicita su personación en el presente recurso de amparo. Mediante diligencia de ordenación se la tiene por personada y se le da traslado del escrito de desistimiento con el objeto de que, en el plazo de tres días, alegue lo que considere pertinente a este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También el 28 de febrero se registra el escrito de alegaciones de la Fiscalía en relación con la pieza separada de medidas cautelares, interesando esta parte el archivo del incidente de suspensión por pérdida sobrevenida de su objeto y, subsidiariamente su desestimación por no estar acreditada la existencia de un perjuicio irreparable en los términos establecidos por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el 5 de marzo de 2024, el abogado del Estado suplica que se le tenga como no opuesto al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el 15 de marzo de 2024, el Ministerio Fiscal expone sus alegaciones interesando que se acoja el desistimiento y se acuerde la terminación y archivo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la Fiscalía se pone de relieve que, sin perjuicio de estimar la legitimidad del desistimiento de la recurrente por cumplir los presupuestos formales y haber acreditado que su causa es la de haber obtenido el restablecimiento del derecho fundamental que consideraba vulnerado, podría subsistir un interés general en la continuación del procedimiento para obtener un pronunciamiento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subsistencia se vincula con la causa de especial trascendencia incluida en la providencia de admisión y referida a que la posible vulneración del derecho fundamental que se denuncia podría proceder de la ley u otra disposición de carácter general [STC 155/2009, FJ 2 c)]. Argumenta el Ministerio Fiscal que el decreto de la Fiscalía Europea de 22 de mayo de 2023, al que se imputa de manera directa la vulneración del derecho a la presunción de inocencia (art. 24.2 CE) por exigir la prestación de finanza para garantizar la pena de multa, se sustenta en lo dispuesto en el art. 53 LOFE, que incluye las multas que pudieran imponerse en el procedimiento en el concepto de responsabilidades pecuniarias objeto de aseguramiento por la medida cautelar. Por tanto, existe una dimensión objetiva en el recurso de amparo, asociada a la depuración del ordenamiento, que podría considerarse como interés general prevalente para excepcionar la admisión de la voluntad de la recurrente de poner término al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estas consideraciones generales, la Fiscalía ante el Tribunal Constitucional termina por descartar la existencia del interés general prevalente, señalando que: (i) la STC 69/2023 ya se ha pronunciado sobre el alcance del derecho fundamental a la presunción de inocencia en relación con la exigencia de fianza para garantizar las penas de multa, por lo que no sería necesario elevar la autocuestión para pronunciarse sobre la vulneración del derecho fundamental que es objeto del recurso de amparo; (ii) no concurre el presupuesto del juicio de relevancia para que la Sala del Tribunal Constitucional se plantee elevar al Pleno la cuestión de inconstitucionalidad, ya que existiendo doctrina previa al respecto, la autocuestión sería consecuencia de haberse pronunciado ya el Tribunal sobre el alcance del derecho fundamental a la presunción de inocencia; (iii) aunque la terminación anticipada del procedimiento por desistimiento implica la subsistencia de la norma supuestamente inconstitucional del art. 53 de la Ley Orgánica 9/2021, la pérdida de oportunidad para declarar la inconstitucionalidad del precepto legal no supone una perturbación en el sistema constitucional, en la medida en que el Tribunal Constitucional ya ha fijado doctrina sobre el alcance del derecho en relación a la exigencia de fianza, habiendo sido restablecido el derecho en el caso concreto con el decreto de Fiscalía de 25 de octubre de 2023; (iv) la norma legal de la que trae causa la vulneración del derecho fundamental es de aplicación por el fiscal europeo delegado y la Fiscalía Europea nacional ha integrado la doctrina de la STC 69/2023, modificando el criterio anterior y emitiendo el nuevo decreto de 25 de octubre de 2023. Y lo anterior sin perjuicio de que una potencial aplicación futura del precepto reabriría la posibilidad de que el Tribunal se pronunciara sobre su inconstitucionalidad en el marco de un proceso constitucional que no hubiera perdido sobrevenidamente su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el objeto del presente auto resolver sobre la petición de desistimiento de la pretensión de amparo solicitada por la recurrente en sendos escritos registrados el 14 y el 20 de febrero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desistimiento, la Ley Orgánica del Tribunal Constitucional prevé en el art. 86.1 que la decisión al respecto adopte la forma de auto, aplicándose respecto de esta figura procesal, con carácter supletorio, los preceptos de la Ley Orgánica del Poder Judicial y de la Ley de enjuiciamiento civil (art. 80), que se refiere al desistimiento en los arts. 19.1, 20.2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este tribunal ha admitido que el desistimiento puede ser parcial, cuando afecta a alguna de las pretensiones en caso de pluralidad del objeto, y total, cuando se refiere a todas o a la única pretensión deducida en el proceso (SSTC 96/1990, de 24 de mayo, FJ 1, y 237/1992, de 15 de diciembre; AATC 33/1993, de 26 de enero; 173/1997, de 20 de mayo; 79/2008, de 11 de marzo, y 288/2013, de 17 de diciembre, entre otros muchos). Así pues, puede estimarse como forma admitida para poner fin a un proceso de amparo, total o parcialmente, la manifestación de la voluntad de desistir por parte de su promotor, siempre que las partes personadas presten su conformidad al desistimiento o no se opusiere a él dentro del plazo conferido a tal efecto, tal y como se dispone en el art. 20.3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presente la pretensión de desistimiento analizada aparece revestida de los requisitos legales, al constar la voluntad personal expresa de desistimiento ratificada por la recurrente en amparo en escrito registrado el 20 de febrero de 2024. Además, no han mostrado oposición al desistimiento ni el abogado del Estado, ni el Ministerio Fiscal, de lo que se deduce que no genera perjuicio alguno a las partes una eventual estimación del desistimiento de la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Cuestión más compleja es la referida a la persistencia de un interés general o público que pudiera condicionar la aceptación del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la regla general por la que se guía nuestra actuación es la de atender la solicitud de quien interpone el recurso de amparo, titular del interés cuya actuación sirve de soporte a su legitimación en el proceso (ATC 34/1993, de 26 de enero, FJ 2, entre otros), inspirándonos en que la jurisdicción de amparo es una jurisdicción rogada (ATC 89/2013, de 6 de mayo, FJ 2), esta regla admite excepciones, de modo que el Tribunal no queda vinculado de forma absoluta por la voluntad unilateral de la parte que formula el desistimiento (STC 362/1993, de 13 de diciembre,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Algunas de esas excepciones, como argumentamos en el ATC 89/2013, “ya fueron acogidas en algunas resoluciones anteriores a la Ley Orgánica 6/2007, atendiendo a la trascendencia objetiva del contenido del recurso en cuestión. Ahora bien, la introducción de la exigencia de la especial trascendencia constitucional, como requisito ineludible de admisión del recurso de amparo, dota de mayor relevancia a la incidencia de este aspecto a la hora de adoptar una decisión sobre la aceptación de un desistimiento. La acentuada dimensión objetiva del recurso de amparo a partir de aquella reforma, tendrá su reflejo inevitablemente en la valoración de la concurrencia de un interés que trascienda al propio de las partes”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este supuesto excepcional nos encontramos con el presente recurso de amparo. Tal y como sostiene la Fiscalía en su escrito de alegaciones, el proceso actual posee una dimensión objetiva reforzada, en la medida en que una de las razones que justificó su admisión a trámite fue la posibilidad de que la lesión del derecho a la presunción de inocencia (ex art. 24.2 CE) pudiera proceder no tanto de la actuación de la Fiscalía Europea, cuanto de la norma en la que dicha Fiscalía sustentaba dicha actuación, esto es, en el art. 53 de la Ley Orgánica 9/2021, de 1 de julio, de aplicación del Reglamento (UE) 2017/1939 del Consejo, de 12 de octubre de 2017, por el que se establece una cooperación reforzada para la creación de la Fiscalía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53 de la Ley Orgánica 9/2021 establece, al referirse a las medidas de aseguramiento de las responsabilidades pecuniarias, que “[d]esde que resulten indicios racionales de la comisión de un hecho delictivo por persona determinada, el fiscal europeo delegado, de oficio o a instancia de parte, podrá adoptar mediante decreto las medidas cautelares dirigidas al aseguramiento de todas las responsabilidades pecuniarias que puedan derivarse del mismo, incluidas las responsabilidades civiles, las multas y las costas, así como del decomiso que en el futuro pueda acordarse respecto de los efectos, instrumentos y productos del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la duda de constitucionalidad deriva de la interpretación que hace la STC 69/2023, de 19 de junio, respecto de la integración de la multa dentro de la noción de responsabilidades pecuniarias a que se refiere el art. 589 de la Ley de enjuiciamiento criminal. Este último precepto establece que “[c]uando del sumario resulten indicios de criminalidad contra una persona, se mandará por el juez que preste fianza bastante para asegurar las responsabilidades pecuniarias que en definitiva puedan declararse procedentes, decretándose en el mismo auto el embargo de bienes suficientes para cubrir dichas responsabilidades si no prestare la fianza”. Al no definir este artículo qué conceptos incluyen las responsabilidades pecuniarias, el órgano judicial de la instancia, en el procedimiento previo a la interposición del recurso de amparo que resuelve la STC 69/2023, deduce de la prelación de pagos a efectuar por el penado o responsable civil subsidiario, contenida en el art. 126.1.5 del Código penal, que la multa también está entre los conceptos incluidos en las responsabilidades pecuniarias cautelares. Pero la sentencia de amparo corrige esta interpretación judicial afirmando que la misma vulnera el art. 24.2 CE, porque la multa presenta diferencias significativas con el resto de partidas que quedarían comprendidas dentro del concepto de responsabilidades pecuniarias, y esas diferencias justificarían la exclusión de la multa de esa noción, porque “la instructora, al ponderar la posible condena del acusado para fijar el importe de la fianza, cuantificando esta en atención a la pena de multa interesada por la acusación particular, cuyo pago obliga a adelantar al acusado causando una restricción temporal de poder de disposición de ese último sobre sus bienes, anticipa una pena que no ha sido declarada en sentencia y vulnera, de este modo, la presunción de inocencia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jurisprudencia se derivaría que, al incluir el art. 53 de la Ley Orgánica 9/2021 la multa entre los conceptos a integrar en la definición de las medidas cautelares dirigidas al aseguramiento de todas las responsabilidades pecuniarias, este también sería contrario al art. 24.2 CE. Al ser este precepto el que sustentaba la fijación de la finanza contestada en el proceso de instancia, su eventual inconstitucionalidad condicionaría el mantenimiento de la fianza o su modificación, que es lo solicitado precisamente por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interés objetivo en depurar el ordenamiento de normas contrarias a la Constitución, podría justificar el rechazo del desistimiento, pero sería conveniente que la continuación del proceso fuera propuesta por quien ostentase la debida legitimación al respecto (ATC 89/2013, FJ 3), es decir, por el Ministerio Fiscal, a quien “incumbe la defensa de la legalidad en los procesos de amparo, la defensa de los derechos de los ciudadanos y del interés público tutelado por la ley, según el art. 47.2 LOTC”. En el presente recurso de amparo el fiscal ante el Tribunal Constitucional no se opone a la terminación del recurso de amparo por aceptación del desistimiento y ello sobre la base de los argumentos expuestos en los antecedentes, argumentos que esta Sala asume en el siguiente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satisfacción procesal de la pretensión material del recurso de amparo, esto es la modificación de la cuantía de la fianza determinada por decreto del fiscal europeo pone de manifiesto que capacidad de la Fiscalía para adaptar sus decretos a la jurisprudencia constitucional sin necesidad de modificar la norma de cobertura.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22 de mayo de 2023 se dicta el primer decreto del fiscal fijando la fianza controvertida. El 25 de julio se publica en el “Boletín Oficial del Estado” la STC 69/2023, aprobada el día 19 de junio. Y el 25 de octubre de 2023, tras solicitud de modificación del decreto por parte de la representación procesal de la recurrente en amparo, la Fiscalía Europea, aún sin citar la STC 69/2023, excluye la multa de las responsabilidades patrimoniales que determinan la fijación de la fianza, reduciendo la misma en la cuantía solicitada. Por tanto, se deduce de la descripción cronológica de los hechos que la Fiscalía Europea puede modular la cuantía de la fianza solicitada adaptándose a la jurisprudencia constitucional porque el marco normativo de cobertura, esto es el art. 53 Ley Orgánica 9/2021 le da margen suficiente para ello. Esta circunstancia relativiza en gran medida el alcance objetivo del recurso de amparo al que se hacía previa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argumento adicional que sustenta la aceptación del desistimiento puede acudirse a la naturaleza y correlación entre el recurso de amparo y la cuestión interna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el recurso de amparo no es el proceso constitucional propicio para la depuración del ordenamiento jurídico de las fuentes legales contrarias al texto constitucional. Por esa razón en legislador orgánico previó en el art. 55.2 LOTC la posibilidad de conectar el recurso de amparo con uno de los procesos de control de constitucionalidad de las normas, concretamente con la cuestión de inconstitucionalidad planteada por jueces y tribunales, en el bien entendido de que el Tribunal Constitucional es juez de garantías en el proceso de amparo. Ahora bien, para respetar la naturaleza procesal de la cuestión de inconstitucionalidad y del recurso de amparo, es preciso que, para pasar del amparo a la cuestión se den las siguientes condiciones procesales: “en el supuesto de que el recurso de amparo debiera ser estimado porque, a juicio de la Sala o, en su caso, la Sección, la ley aplicada lesione derechos fundamentales o libertades públicas, se elevará la cuestión al Pleno con suspensión del plazo para dictar sentencia, de conformidad con lo prevenido en los artículos 35 y siguientes”. Es decir, es presupuesto del planteamiento de la cuestión de inconstitucionalidad que el proceso de amparo esté en condiciones procesales de ser eventualmente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sostuvo en la STC 149/2000, de 1 de junio, “las especialidades de la denominada autocuestión o cuestión interna de inconstitucionalidad no pueden hacer olvidar que de la propia dicción del art. 55.2 LOTC se desprende su carácter de procedimiento de control concreto, lo que obligaría al Pleno a ceñir su examen en el perímetro del debate trabado en el recurso de amparo previo”. Esta afirmación se completa, tras la reforma del procedimiento por la Ley Orgánica 6/2007, de 24 de mayo, con la contenida en el ATC 3/2019, de 28 de enero, donde se sostiene que “la cuestión de inconstitucionalidad, incluso en la modalidad de cuestión interna o autocuestión que reconoce el artículo 55.2 LOTC, en relación con los artículos 35 y siguientes de esta última, no puede calificarse como un proceso de control abstracto sobre la constitucionalidad de una norma legal, sino que el fallo de la sentencia que recayere ha de tener siempre una proyección concreta sobre el resultado del proceso a quo (por todas, STC 55/2017, de 11 de mayo, FJ 2, y las que ahí se citan). Lo que se extiende precisamente en los casos del artículo 55.2 LOTC, al proceso de amparo en el que se plantea dicha iniciativa”.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los motivos expuestos, carecería de sentido elevar al Pleno una cuestión de inconstitucionalidad si la sentencia que este dictase no iba a poder ser aplicada a la resolución del correspondiente recurso de amparo, al tener que inadmitirse este último por haber decaído su objeto gracias a la satisfacción procesal del mismo. Dicho en otros términos, en el supuesto que nos ocupa, el recurso de amparo no podría estar, en ninguna circunstancia, en condiciones de ser estimado, porque se ha producido la satisfacción de la pretensión en el mismo proceso de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no se darían las condiciones básicas para elevar la cuestión de inconstitucionalidad, de modo que el interés objetivo del amparo habría decaído, y con él la persistencia de un interés general o público que pudiera condicionar la aceptación del desistimiento.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apartada y desistida del presente recurso de amparo a doña Marta Cañadas Berrio, debiendo tal desistimiento surtir plenos efectos. Procédase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