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4 de junio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Juan Carlos Campo Moreno y doña Laura Díez Bueso, en la cuestión de inconstitucionalidad núm. 2714-2024, promovida por la Sección Séptima de la Sala de lo Contencioso-Administrativo del Tribunal Superior de Justicia de Madrid, en relación con el artículo 23 de la Ley 38/1988, de 28 de diciembre, de demarcación y de planta judicial, ha dictado, con ponencia de la magistrada doña María Luisa Segoviano Astaburuaga,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18 de abril de 2024 tuvo entrada en el registro de este tribunal un oficio de la Sección Séptima de la Sala de lo Contencioso-Administrativo del Tribunal Superior de Justicia de Madrid, al que se acompañaba, junto al testimonio del procedimiento ordinario núm. 682-2022 y del auto de 11 de abril de 2024, por el que se acuerda plantear cuestión de inconstitucionalidad en relación con el art. 23 de la Ley 38/1988, de 28 de diciembre, de demarcación y de planta judicial, por su posible contradicción con los arts. 14 y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27 de mayo de 2024, el magistrado don César Tolosa Tribiño comunicó su abstención en el presente recurso de amparo y todas sus incidencias, por entender que concurrían las causas establecidas en el artículo 219.12, 13 y 16 de la Ley Orgánica del Poder Judicial (LOPJ), toda vez que el procedimiento de inconstitucionalidad trae causa de la reclamación administrativa y posterior recurso contencioso-administrativo formulados por M.T.H. frente al Ministerio de Justicia por no reconocerle el complemento específico como letrada coordinadora del área de lo contencioso-administrativo del Gabinete Técnico del Tribunal Supremo. Indica que las retribuciones controvertidas se devengaron en el periodo en que M.T.H. dependía funcionalmente del magistrado en tanto presidente de la Sala de lo Contencioso-Administrativo del Tribunal Supremo, que en dicha condición firmó una petición dirigida al indicado ministerio a fin de que se le reconociera el referido complemento, formando criterio sobre la viabilidad de la reclamación de la que trae causa el presente procedimiento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estiman justificadas las causas de abstención formuladas, puesto que atendida la dependencia funcional que tenía M.T.H. en el momento de la reclamación administrativa formulada y la intervención que efectuó en apoyo de dicha reclamación, que obra en el expediente administrativo, en la que anticipó criterio sobre el fondo de la cuestión de la que trae causa el presente proceso de inconstitucionalidad, está incurso en las causas de abstención de los párrafos 12, 13 y 16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la cuestión de inconstitucionalidad núm. 2714-2024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