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23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359-2023, promovido por don Rubén Rodríguez Ortiz,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enero de 2023, la procuradora de los tribunales doña Virginia Camacho Villar, en nombre y representación de don Rubén Rodríguez Ortiz, interpuso recurso de amparo contra (i) la sentencia núm. 84/2021, de 24 de marzo, dictada por la Sección Segunda de la Audiencia Provincial de Navarra en el rollo de sala núm. 443-2016 (procedimiento sumario ordinario núm. 538-2016), que condenó al recurrente; (ii) la sentencia núm. 1/2022, de 17 de enero, de la Sala de lo Civil y Penal del Tribunal Superior de Justicia de Navarra, dictada en el recurso de apelación núm. 24-2021; y (iii) la sentencia del Tribunal Supremo núm. 891/2022, de 11 de noviembre, dictada en el recurso de casación núm. 10106-2022.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fue condenado en la citada sentencia de la Audiencia Provincial como autor 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Un delito continuado de abuso sexual con penetración a menor de trece años [arts. 181.1 y 2.1, 182.2 en relación con el art. 74 del Código penal (CP) —redacción de la Ley Orgánica 15/2003, de 25 de noviembre—] a la pena de nueve años y seis meses de prisión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Un delito de abuso sexual a menor de trece años [art. 183.1, 3 y 4 a) y d) CP] en concurso con un delito de utilización de menores de edad para la elaboración de material pornográfico [art. 189.1 a) y 3 a) CP en relación con el art. 77 CP —redacción de la Ley Orgánica 5/2010, de 22 de junio—] a la pena de once años y seis meses de prisión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Un delito de utilización de menores de edad para la elaboración de material pornográfico [art. 189.1 a) y 3 a) CP —redacción de la Ley Orgánica 15/2003, de 25 de noviembre—] a la pena de seis años de prisión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Un delito de abuso sexual a menor de trece años (art. 183. 1 CP —redacción de la Ley Orgánica 5/2010, de 22 de junio—) a la pena de dos años de prisión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Un delito de posesión de pornografía infantil (art. 189.5 CP —redacción de la Ley Orgáncia 1/2015, de 30 de marzo—) a la pena de un año de prisión e inhabilitación especial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le impuso asimismo la medida de libertad vigilada por tiempo de dos años, a ejecutar con posterioridad a las penas privativas de libertad, conforme a lo dispuesto en el art 192.1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del Tribunal Superior de Justicia de Navarra de 17 de enero de 2022 desestimó el recurso de apelación del condenado y estimó parcialmente el recurso adhesivo de apelación del Ministerio Fiscal, lo que determinó la condena adicional del recurrente a sendas penas accesorias de prohibición de acercarse a dos menores, a su domicilio o a cualquier lugar en que se encuentren durante diez años y seis meses y doce años y seis meses,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del Tribunal Supremo de 11 de noviembre de 2022 desestimó el recurso de casación interpuesto por 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 (i) la vulneración de los derechos fundamentales a la presunción de inocencia y a un procedimiento con todas las garantías, al estar constituida la prueba de cargo por prueba ilícitamente obtenida, toda vez que no existe desconexión de antijuridicidad entre la prueba inicial ilícitamente obtenida y el resto de las pruebas, todas las cuales traen causa de aquella; y (ii) la vulneración del derecho fundamental a un juez imparcial, toda vez que dos de los magistrados que conformaron la Sala de lo Civil y Penal del Tribunal Superior de Justicia de Navarra que resolvió el último recurso de apelación contra la sentencia condenatoria de la Audiencia Provincial de Navarra, habían formado parte de la Sala de lo Civil y Penal del Tribunal Superior de Justicia de Navarra que resolvió un anterior recurso de apelación contra una anterior sentencia absolutoria de la Audiencia Provincial de Navarra, en el sentido de revocar la sentencia absolutoria y devolver las actuaciones a la Audiencia para que esta valorara las pruebas que la sentencia absolutoria había considerado ilícitas.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demandante solicitó, conforme al art. 56 de la Ley Orgánica del Tribunal Constitucional (LOTC), la suspensión de la ejecución de las penas privativas de libertad que determinará la firmeza de la sentencia condenatoria de la Audiencia Provincial, que supone la causación de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mayo de 2024, la Sección Cuarta acordó admitir a trámite el recurso de amparo apreciando que concurre en el mismo una especial trascendencia constitucional (art. 50.1 LOTC), porque puede dar ocasión al Tribunal para aclarar o cambiar su doctrina, como consecuencia de un proceso de reflexión interna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resolución (i) se dirigió atenta comunicación a la Sala de lo Penal del Tribunal Supremo, a la Sala de lo Civil y Penal del Tribunal Superior de Justicia de Navarra y a la Sección Segunda de la Audiencia Provincial de Navarra a fin de que, en plazo que no exceda de diez días, remitan certificación o fotocopia adverada de las actuaciones ante ellas desarrolladas; (ii) se ordenó que fueran emplazadas ante este tribunal las partes que hubieren participado en el proceso previo; y (iii) se acordó formar pieza separada de suspensión, concediéndose por providencia de la misma fecha, en aplicación de lo dispuesto en el art. 56 LOTC, un plazo común de tres días al recurrente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22 de mayo de 2023, la representación procesal del demandante reiteró su solicitud de suspensión de la ejecución de las penas privativas de libertad. Argumenta que el daño a la libertad es, como en el caso de otros bienes jurídicos como la vida o la integridad física, irreparable. Ello haría perder al recurso de amparo buena parte de su sentido, mientras que la suspensión no ocasionaría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6 de junio 2024, el fiscal interesó la denegación de la pretensión cautelar en aplicación de la doctrina constitucional sobre la suspensión de las penas de prisión, cuyo canon general es situar en los cinco años —que marcan la frontera entre las penas graves y las menos graves— el marco temporal en el que la gravedad de la perturbación para el interés general no impide la suspensión. Aduce que, en este caso, se supera ampliamente el límite de los cinco años que constituye el criterio general, ya que fue condenado, entre otras, a una pena de once años y seis meses de prisión y a otra de nueve años y seis meses de prisión. Añade que es carga del recurrente probar que la ejecución producirá un perjuicio irreparable, y considera que difícilmente puede entenderse que la argumentación del recurrente haya precisado debidamente los concretos perjuicios que de la ejecución se deriven que permitan variar excepcionalmente el criterio general. En particular descarta que pueda ser un argumento de apoyo el hecho de que el demandante pase de la situación de prisión provisional a la de cumplimiento, porque en todo caso se estaría manteniendo la situación de privación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separada es determinar la procedencia de acordar la suspensión de las resoluciones judiciales impugnadas en el único extremo solicitado por el recurrente de la ejecución de las penas privativas de libertad a las que fue condenado como autor de diversos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sostiene que dicha ejecución haría perder su finalidad al amparo por afectar a la libertad, mientras que la suspensión no implicaría una perturbación grave de un interés constitucionalmente protegido o de los derechos fundamentales y libertades públicas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se deniegue la medida cautelar desde el entendimiento de que no se ha acreditado que concurra una causa excepcional por la que haya que variar el criterio general que se opone a la suspensión de las penas privativas de libertad de más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establece como principio general que “[l]a interposición del recurso de amparo no suspenderá los efectos del acto o sentencia impugnados”. La regla general es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art. 56.2 LOTC dispone que podrá disponerse la suspensión “cuando la ejecución […] produzca un perjuicio al recurrente que pudiera hacer perder al amparo su finalidad”, salvo que “ocasione perturbación grave a un interés constitucionalmente protegido, [o de] los derechos fundamentales o libertades de otra persona”.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(últimamente con numerosas referencias, ATC 79/2022, de 9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considerado como un supuesto de perjuicio irreparable el derivado de la ejecución de una pena privativa de libertad, donde ha asumido como criterio de ponderación prioritario en la evaluación de la gravedad de la perturbación que para el interés general tiene la suspensión de la ejecución el relativo a la gravedad de la pena, de manera que la directriz principal a tener en cuenta es si la pena se sitúa por encima o por debajo del umbral de los cinco años, puesto que esa es la frontera establecida por el legislador para diferenciar las penas graves de las menos graves, conforme a lo dispuesto en el art. 33 CP. 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72/2021, de 12 de julio, FJ 2; 438/2023, de 26 de septiembre, FJ 2, y 19/2024, de 26 de febrero, FJ 2, todos con ulteriores referencias).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ejecución de las penas privativas de libertad impuestas al recurrente, dado que se han impuesto penas que exceden notablemente de los cinco años que el Tribunal viene considerando, en principio, como límite para adoptar la medida cautelar y no se han alegado, ni se aprecian, circunstancias excepcionales para no aplicar ese criterio general. En efecto, el recurrente ha sido condenado a cinco penas de prisión, como se relaciona en los antecedentes, y, de ellas, tres superan los cinco años y dos de estas lo hacen de forma notable, ya que su duración es de once años y seis meses y de nueve años y seis meses. La gravedad de las penas impuestas al recurrente se vincula con la gravedad de los delitos cometidos por su naturaleza, la persistencia y reiteración en su comisión y la pluralidad y condición de los sujetos pasivos de los mismos. Los anteriores elementos acreditan la perturbación grave del interés general en la ejecución que generaría la suspensión solicitada y que conduce a rechazarla.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núm. 359-2023, promovido por don Rubén Rodríguez Ortiz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