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abogado del Estado en el recurso de inconstitucionalidad núm. 6547-2024, interpuesto por el Gobierno de Aragón en relación con la Ley Orgánica 1/2024, de 10 de junio, de amnistía para la normalización institucional, política y social en Cataluña,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registrado en este tribunal el 20 de septiembre de 2024, promueve la recusación del magistrado don José María Macías Castaño en el recurso de inconstitucionalidad núm. 6547-2024, interpuesto por el Gobierno de Aragón en relación con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con invocación de jurisprudencia de este tribunal y del Tribunal Europeo de Derechos Humanos, en relación con el derecho al juez imparcial, sustenta la recusación en la causa decimosexta de las previstas en el art. 219 de la Ley Orgánica del Poder Judicial, con fundamento en que el magistrado recusado habría ocupado cargo público con ocasión del cual ha podido tener conocimiento del objeto del litigio y formar criterio en detrimento de la debida imparcialidad, dado que, en su anterior condición de vocal del Consejo General del Poder Judicial, participó, votando a favor, en la aprobación del informe de 21 de marzo de 2024 que apreció la inconstitucionalidad de la entonces proposición de ley que dio lugar a la Ley Orgánica 1/2024, de 10 de junio, de amnistía para la normalización institucional, política y social en Cataluña,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6 de noviembre de 2024, consignó que la ponencia del incidente de recusación correspondía por turno de reparto a la magistrada doña Inmaculada Montalbán Huertas.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diez de sus miembros, no participando el magistrado cuya recusación se resuelve, ni el magistrado don Juan Carlos Campo Moreno, cuya abstención fue aceptada por ATC 91/2024, de 24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recusación guarda identidad con la inadmitida por ATC 116/2024, de 5 de noviembre, dictado por este tribunal en el recurso de inconstitucionalidad núm. 6436-2024, en el que apreciamos su carácter prematuro en la medida en que, para las partes distintas de la recurrente, será a partir del momento procesal en que el Tribunal les tenga por personadas y parte (art. 34.2 de la Ley Orgánica del Tribunal Constitucional) cuando podrán promover la recusación. Sin este requisito no pueden tener participación en el debate principal ni en sus incidencias, faltando, por tanto, el primero de los presupuestos de admisibilidad de la recusación (ATC 109/1981, de 30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el recurso de inconstitucionalidad núm. 6547-2024.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