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abogado del Estado en el recurso de inconstitucionalidad núm. 6556-2024, interpuesto por la Junta de Galicia en relación con la Ley Orgánica 1/2024, de 10 de junio, de amnistía para la normalización institucional, política y social en Cataluña,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registrado en este tribunal el 20 de septiembre de 2024, promueve la recusación del magistrado don José María Macías Castaño en el recurso de inconstitucionalidad núm. 6556-2024, interpuesto por la Junta de Galicia en relación con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con invocación de jurisprudencia de este tribunal y del Tribunal Europeo de Derechos Humanos, en relación con el derecho al juez imparcial, sustenta la recusación en la causa decimosexta de las previstas en el art. 219 de la Ley Orgánica del Poder Judicial, con fundamento en que el magistrado recusado habría ocupado cargo público con ocasión del cual ha podido tener conocimiento del objeto del litigio y formar criterio en detrimento de la debida imparcialidad, dado que, en su anterior condición de vocal del Consejo General del Poder Judicial, participó, votando a favor, en la aprobación del informe de 21 de marzo de 2024 que apreció la inconstitucionalidad de la entonces proposición de ley que dio lugar a la Ley Orgánica 1/2024, de 10 de junio, de amnistía para la normalización institucional, política y social en Cataluña,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6 de noviembre de 2024, consignó que la ponencia del incidente de recusación correspondía por turno de reparto al magistrado don Ramón Sáez Valcárcel.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diez de sus miembros, no participando el magistrado cuya recusación se resuelve, ni el magistrado don Juan Carlos Campo Moreno, cuya abstención fue aceptada por ATC 91/2024, de 24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recusación guarda identidad con la inadmitida por el ATC 116/2024, de 5 de noviembre, dictado en el recurso de inconstitucionalidad núm. 6436-2024, en el que apreciamos su carácter prematuro en la medida en que, para las partes distintas de la recurrente, será a partir del momento procesal en que el Tribunal les tenga por personadas y parte (art. 34.2 de la Ley Orgánica del Tribunal Constitucional) cuando podrán promover la recusación. Sin este requisito no pueden tener participación en el debate principal ni en sus incidencias, faltando, por tanto, el primero de los presupuestos de admisibilidad de la recusación (ATC 109/1981, de 30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el recurso de inconstitucionalidad núm. 6556-2024.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