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promovido por el abogado del Estado en el recurso de inconstitucionalidad núm. 6595-2024, interpuesto por la Junta de Castilla y León en relación con la Ley Orgánica 1/2024, de 10 de junio, de amnistía para la normalización institucional, política y social en Cataluña, ha dictado,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registrado en este tribunal el 20 de septiembre de 2024, promueve la recusación del magistrado don José María Macías Castaño en el recurso de inconstitucionalidad núm. 6595-2024, interpuesto por la Junta de Castilla y León en relación con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con invocación de jurisprudencia de este tribunal y del Tribunal Europeo de Derechos Humanos, en relación con el derecho al juez imparcial, sustenta la recusación en la causa decimosexta de las previstas en el art. 219 de la Ley Orgánica del Poder Judicial, con fundamento en que el magistrado recusado habría ocupado cargo público con ocasión del cual ha podido tener conocimiento del objeto del litigio y formar criterio en detrimento de la debida imparcialidad, dado que, en su anterior condición de vocal del Consejo General del Poder Judicial, participó, votando a favor, en la aprobación del informe de 21 de marzo de 2024 que apreció la inconstitucionalidad de la entonces proposición de ley que dio lugar a la Ley Orgánica 1/2024, de 10 de junio, de amnistía para la normalización institucional, política y social en Cataluña,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6 de noviembre de 2024, consignó que la ponencia del incidente de recusación correspondía por turno de reparto a la magistrada doña Inmaculada Montalbán Huertas.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diez de sus miembros, no participando el magistrado cuya recusación se resuelve, ni el magistrado don Juan Carlos Campo Moreno, cuya abstención fue aceptada por ATC 91/2024, de 24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recusación guarda identidad con la inadmitida por ATC 116/2024, de 5 de noviembre, dictado por este tribunal en el recurso de inconstitucionalidad núm. 6436-2024, en el que apreciamos su carácter prematuro en la medida en que, para las partes distintas de la recurrente, será a partir del momento procesal en que el Tribunal les tenga por personadas y parte (art. 34.2 de la Ley Orgánica del Tribunal Constitucional) cuando podrán promover la recusación. Sin este requisito no pueden tener participación en el debate principal ni en sus incidencias, faltando, por tanto, el primero de los presupuestos de admisibilidad de la recusación (ATC 109/1981, de 30 de octubre,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José María Macías Castaño, promovida por el abogado del Estado en el recurso de inconstitucionalidad núm. 6595-2024.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