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141</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19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el incidente de recusación promovido por el abogado del Estado en la cuestión de inconstitucionalidad núm. 6597-2024, planteada por la Sala de lo Civil y Penal del Tribunal Superior de Justicia de Cataluña en relación con la Ley Orgánica 1/2024, de 10 de junio, de amnistía para la normalización institucional, política y social en Cataluña, ha dictado, con ponencia del magistrado don Ramón Sáez Valcárcel,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mediante escrito registrado en este tribunal el 20 de septiembre de 2024, promueve la recusación del magistrado don José María Macías Castaño en la cuestión de inconstitucionalidad núm. 6597-2024, planteada por la Sala de lo Civil y Penal del Tribunal Superior de Justicia de Cataluña en relación con la Ley Orgánica 1/2024, de 10 de junio, de amnistía para la normalización institucional, política y social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con invocación de jurisprudencia de este tribunal y del Tribunal Europeo de Derechos Humanos en relación con el derecho al juez imparcial, sustenta la recusación en la causa 16 de las previstas en el art. 219 de la Ley Orgánica del Poder Judicial, con fundamento en que el magistrado recusado habría ocupado cargo público con ocasión del cual ha podido tener conocimiento del objeto del litigio y formar criterio en detrimento de la debida imparcialidad dado que, en su anterior condición de vocal del Consejo General del Poder Judicial participó, votando a favor, en la aprobación del informe de 21 de marzo de 2024 que apreció la inconstitucionalidad de la entonces proposición de ley que dio lugar a la Ley Orgánica 1/2024, de 10 de junio, de amnistía para la normalización institucional, política y social en Cataluña, objeto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6 de noviembre de 2024, consignó que la ponencia del incidente de recusación correspondía por turno de reparto al magistrado don Ramón Sáez Valcárcel.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Pleno del Tribunal solo intervienen diez de sus miembros, no participando el magistrado cuya recusación se resuelve ni el magistrado don Juan Carlos Campo Moreno, cuya abstención fue aceptada por ATC 91/2024, de 24 de septiembre.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La presente recusación guarda identidad con la inadmitida por ATC 116/2024, de 5 de noviembre, dictado en el recurso de inconstitucionalidad 6436-2024, en el que apreciamos su carácter prematuro en la medida en que, para las partes distintas de la recurrente, será a partir del momento procesal en que el Tribunal les tenga por personadas y parte (art. 34.2 de la Ley Orgánica del Tribunal Constitucional) cuando podrán promover la recusación. Sin este requisito no pueden tener participación en el debate principal ni en sus incidencias, faltando, por tanto, el primero de los presupuestos de admisibilidad de la recusación (ATC 109/1981, de 30 de octubre, FJ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del magistrado don José María Macías Castaño, promovida por el abogado del Estado en la cuestión de inconstitucionalidad núm. 6597-2024.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