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19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el incidente de recusación promovido por el abogado del Estado en el recurso de inconstitucionalidad núm. 6607-2024, interpuesto por el Consejo de Gobierno de La Rioja en relación con la Ley Orgánica 1/2024, de 10 de junio, de amnistía para la normalización institucional, política y social en Cataluña, ha dictado, con ponencia del magistrado don Ricardo Enríquez Sancho,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mediante escrito registrado en este tribunal el 20 de septiembre de 2024, promueve la recusación del magistrado don José María Macías Castaño en el recurso de inconstitucionalidad núm. 6607-2024, interpuesto por el Consejo de Gobierno de La Rioja en relación con la Ley Orgánica 1/2024, de 10 de junio,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con invocación de jurisprudencia de este tribunal y del Tribunal Europeo de Derechos Humanos en relación con el derecho al juez imparcial, sustenta la recusación en la causa 16 de las previstas en el art. 219 de la Ley Orgánica del Poder Judicial, con fundamento en que el magistrado recusado habría ocupado cargo público con ocasión del cual ha podido tener conocimiento del objeto del litigio y formar criterio en detrimento de la debida imparcialidad dado que, en su anterior condición de vocal del Consejo General del Poder Judicial participó, votando a favor, en la aprobación del informe de 21 de marzo de 2024 que apreció la inconstitucionalidad de la entonces proposición de ley que dio lugar a la Ley Orgánica 1/2024, de 10 de junio, de amnistía para la normalización institucional, política y social en Cataluña, objeto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6 de noviembre de 2024, consignó que la ponencia del incidente de recusación correspondía por turno de reparto al magistrado don Ricardo Enríquez Sancho.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diez de sus miembros, no participando el magistrado cuya recusación se resuelve ni el magistrado don Juan Carlos Campo Moreno, cuya abstención fue aceptada por ATC 91/2024, de 24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 presente recusación guarda identidad con la inadmitida por ATC 116/2024, de 5 de noviembre, dictado en el recurso de inconstitucionalidad 6436-2024, en el que apreciamos su carácter prematuro en la medida en que, para las partes distintas de la recurrente, será a partir del momento procesal en que el Tribunal les tenga por personadas y parte (art. 34.2 de la Ley Orgánica del Tribunal Constitucional) cuando podrán promover la recusación. Sin este requisito no pueden tener participación en el debate principal ni en sus incidencias, faltando, por tanto, el primero de los presupuestos de admisibilidad de la recusación (ATC 109/1981, de 30 de octubre,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magistrado don José María Macías Castaño, promovida por el abogado del Estado en el recurso de inconstitucionalidad núm. 6607-2024.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