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19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el incidente de recusación promovido por el abogado del Estado en el recurso de inconstitucionalidad núm. 6616-2024, interpuesto por el Gobierno de Cantabria en relación con la Ley Orgánica 1/2024, de 10 de junio, de amnistía para la normalización institucional, política y social en Cataluña, ha dictado, con ponencia de la magistrada doña María Luisa Balaguer Callejón,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mediante escrito registrado en este tribunal el 20 de septiembre de 2024, promueve la recusación del magistrado don José María Macías Castaño en el recurso de inconstitucionalidad núm. 6616-2024, interpuesto por el Gobierno de Cantabria en relación con la Ley Orgánica 1/2024, de 10 de junio,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con invocación de jurisprudencia de este tribunal y del Tribunal Europeo de Derechos Humanos, en relación con el derecho al juez imparcial, sustenta la recusación en la causa decimosexta de las previstas en el art. 219 de la Ley Orgánica del Poder Judicial, con fundamento en que el magistrado recusado habría ocupado cargo público con ocasión del cual ha podido tener conocimiento del objeto del litigio y formar criterio en detrimento de la debida imparcialidad, dado que, en su anterior condición de vocal del Consejo General del Poder Judicial, participó, votando a favor, en la aprobación del informe de 21 de marzo de 2024 que apreció la inconstitucionalidad de la entonces proposición de ley que dio lugar a la Ley Orgánica 1/2024, de 10 de junio, de amnistía para la normalización institucional, política y social en Cataluña, objeto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6 de noviembre de 2024, consignó que la ponencia del incidente de recusación correspondía por turno de reparto a la magistrada doña María Luisa Balaguer Callejón.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diez de sus miembros, no participando el magistrado cuya recusación se resuelve, ni el magistrado don Juan Carlos Campo Moreno, cuya abstención fue aceptada por ATC 91/2024, de 24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 presente recusación guarda identidad con la inadmitida por ATC 116/2024, de 5 de noviembre, dictado por este tribunal en el recurso de inconstitucionalidad núm. 6436-2024, en el que apreciamos su carácter prematuro en la medida en que, para las partes distintas de la recurrente, será a partir del momento procesal en que el Tribunal les tenga por personadas y parte (art. 34.2 de la Ley Orgánica del Tribunal Constitucional) cuando podrán promover la recusación. Sin este requisito no pueden tener participación en el debate principal ni en sus incidencias, faltando, por tanto, el primero de los presupuestos de admisibilidad de la recusación (ATC 109/1981, de 30 de octubre,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magistrado don José María Macías Castaño, promovida por el abogado del Estado en el recurso de inconstitucionalidad núm. 6616-2024.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