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2024-2022, promovido por doña O.V.R., representada por la procuradora de los tribunales doña Milagros Duret Arguello y bajo la asistencia letrada de doña Yolanda Loureiro Dios, contra el auto núm. 81/2021, de 30 de julio, dictado en los autos de medidas provisionales núm. 12-2021 por el Juzgado de Violencia sobre la Mujer núm. 1 de Vitoria-Gasteiz, aclarado por auto de 15 de octubre del mismo año y contra el que se interpuso incidente de nulidad, desestimado por auto de 17 de diciembre de 2021 y cuya solicitud de aclaración fue rechazada el 2 de febrero de 2022. Ha comparecido don J.V.O., representado por la procuradora doña Isabel Gómez Pérez de Mendiola y asistido por el abogado don Juan José García Carretero.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marzo de 2022, la procuradora de los tribunales doña Milagros Duret Arguello, en nombre y representación de doña O.V.R., bajo la asistencia letrada de doña Yolanda Loureiro Dios, interpuso recurso de amparo contra la resolución judicial citada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para resolver las pretensiones planteadas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O.V.R., y don J.V.O., contrajeron matrimonio el 1 de julio de 2016, unión de la que nació E.V.V., hijo menor común que contaba con tres años en el momento en que se iniciaron las acciones judiciales que dieron origen 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5 de noviembre de 2020, doña O.V.R., se trasladó junto a su hijo desde Vitoria-Gasteiz, lugar de residencia familiar hasta aquel momento, a la ciudad de A Coruña, donde viven los abuelos maternos y donde, el 16 de noviembre del mismo año, presentó denuncia contra don J.V.O., por violencia de género, dando lugar con ello al atestado núm. 8208-2020 de la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referido atestado, obrante en las actuaciones a disposición de este tribunal, doña O.V.R., denunció que las discusiones y malentendidos en el seno de su matrimonio con don J.V.O., habían comenzado hacía unos cuatro o cinco años, relatando en su comparecencia tres episodios concretos de violencia tras el nacimiento de su hijo común, de entre los cuales el menor habría estado presente en al menos uno. La ahora demandante de amparo adujo, en primer lugar, que en dos de estos episodios don J.V.O., le había agarrado por el cuello y empujando contra la pared, pasando a continuación a relatar los hechos acontecidos el 1 de noviembre de 2020 cuando, con motivo de un desacuerdo relativo al cuidado de su hijo común, don J.V.O., le había vuelto a agarrar del cuello, tirándola después al suelo, donde le propinó varias patadas en el muslo izquierdo y amenazó con “abrirle el cráneo y partirle la cabeza”, culpabilizándola de su propio modo de actuar. Tras dicho episodio, siempre según el referido atestado, doña O.V.R., habría conseguido incorporarse y, en un intento posterior por entablar conversación con su entonces marido, habría sido objeto de una nueva agresión al cogerle don J.V.O., primero del cuello y después del brazo, inmovilizándola al retorcérselo.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actuaciones a disposición de este tribunal obran tanto el referido atestado policial como un parte de asistencia del Hospital San José, con fecha de entrada el 1 de noviembre de 2020 a las 23:36 horas, en el que, constando mención por doña O.V.R., a una discusión con su marido en la que le habría agarrado del cuello, tirado al suelo y dado varias patadas en el muslo izquierdo, se incluye como juicio clínico-diagnóstico “Policontusiones. Agresión en contexto de violencia de género”. En la hoja de alta de urgencias, a disposición también de este tribunal, se solicita parte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días 11 de noviembre y 17 de noviembre de 2020, don J.V.O., solicitó, respectivamente, medidas urgentes de protección ex arts. 156 y 158 del Código civil (CC) y medidas previas a la demanda de divorcio ex art. 771 de la Ley de enjuiciamiento civil (LEC) ante los juzgados de familia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18 de noviembre de 2020, el Juzgado de Violencia sobre la Mujer núm. 1 de A Coruña acordó incoar diligencias previas en procedimiento abreviado, núm. 1044-2020, e inhibirse en favor del Juzgado de Violencia sobre la Mujer de Vitoria-Gasteiz, declarando que los hechos resultantes de lo actuado hacían “presumir la posible existencia de delito de violencia doméstica y de género, maltrato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noviembre de 2020 la letrada de doña O.V.R., interpuso recurso de reforma contra el auto de inhibición dictado por el Juzgado de Violencia sobre la Mujer núm. 1 de A Coruña el 18 de noviembre. Recurso que fue desestimado el 11 de enero de 2021 al entender el órgano judicial que, no habiendo referido la denunciante ningún episodio violento desde su traslado a Galicia, no resultaba aplicable excepción alguna a la regla general del forum delicti comissi.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O.V.R., interpuso recurso de apelación, núm. 506-2021, contra el auto de 18 de noviembre de 2020, que fue desestimado por la Audiencia Provincial de A Coruña el 27 de mayo de 2021. El 11 de junio del mismo año la inhibitoria devino firme al denegar la Audiencia Provincial la preparación del recurso de casación solicitada por la representación procesal de la recurrente en amparo contra el auto de 27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solicitud de don J.V.O., de medidas de protección relativa al ejercicio inadecuado de la potestad de guarda fue admitida a trámite por el Juzgado de Primera Instancia núm. 8 de Vitoria-Gasteiz el 23 de noviembre de 2020. El 24 de noviembre fue admitida por el mismo órgano jurisdiccional la solicitud de medidas previas a la demanda de divorcio. Ambas demandas fueron acumuladas por el Juzgado de Primera Instancia núm. 8 de Vitoria-Gasteiz que, por auto núm. 690/2020, de 26 de noviembre, acordó el archivo del procedimiento en aplicación del art. 6.2 de la Ley 15/2015, de 2 de julio, de la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24 de noviembre de 2020, la fiscalía provincial de A Coruña otorgó certificado de indicios de delito requerido por doña O.V.R., a efectos de solicitar la escolarización de su hijo en la ciudad gallega con el mismo nombre, siendo emitido al día siguiente por el ayuntamiento informe sobre su condición de víctima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26 de noviembre de 2020, doña O.V.R., presentó una solicitud de admisión del menor en un centro dependiente de la Conselleria de Cultura, Educación e Universidade de A Coruña, alegando traslado de domicilio y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actuaciones que obran a disposición de este tribunal, previamente, el 20 de noviembre de 2020, don J.V.O., remitió correo electrónico a la jefatura territorial de la mencionada conselleria en el que manifestaba su oposición a una posible solicitud de escolarización de su hijo menor en un centro docente adscrito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 de diciembre de 2020, dictado en las diligencias previas de procedimiento abreviado 1044-2020, el Juzgado de Violencia sobre la Mujer núm. 1 de A Coruña denegó la orden de protección solicitada por doña O.V.R. El auto se fundamentó, por un lado, en la falta de acreditación de la existencia de una situación de riesgo habida cuenta de la ausencia tanto de actos amenazantes y/o intimidatorios desde su traslado a Galicia, como de una solicitud de medidas de carácter penal. En el auto se advierte además de la existencia de un contacto diario con el investigado, por vía telemática, para garantizar el mantenimiento de la relación con su hijo menor. Por otro lado, la negativa al reconocimiento de medidas de protección se justifica también sobre la base de la apreciación de ciertas inconsistencias en las declaraciones de doña O.V.R., quien, según el auto de 1 de diciembre de 2020, mientras que en el parte de asistencia de 1 de noviembre refirió un único episodio de violencia, en la denuncia de 16 de noviembre habría aducido hasta dos incidentes más. En la mencionada resolución judicial se aprecian además motivos espurios en la actuación de doña O.V.R., al haber alegado el investigado la existencia de mensajes de los que podría deducirse la intención de la demandante de amparo de accionar la vía penal si don J.V.O., no aceptaba el traslado y la escolarización del menor en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4 de diciembre de 2020, el jefe territorial de la conselleria gallega supra mencionada acordó suspender la tramitación de la solicitud de escolarización en virtud del contenido del auto de 1 de diciembre de 2020 del Juzgado de Violencia sobre la Mujer núm. 1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O.V.R., interpuso recurso de alzada contra la mencionada resolución, siendo el mismo parcialmente estimado por resolución de 10 de febrero de 2021. El secretario general técnico de la Conselleria concluyó que, aun no siendo en ese momento posible justificar la escolarización por violencia de género al faltar resolución judicial que así lo permitiera, de la documentación aportada por la ahora recurrente en amparo se deducía que tanto ella como su hijo menor estaban empadronados en A Coruña, ciudad donde doña O.V.R., se encontraba además trabajando. Se resolvió de este modo, en interés superior del menor, la escolarización cautelar de E.V.V., en el centro solicitado por doña O.V.R.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Recibido parte de asistencia, por auto de 21 de diciembre de 2020, el Juzgado de Violencia sobre la Mujer núm. 1 de Vitoria-Gasteiz se declaró competente para instruir la causa en la que constaba doña O.V.R., como víctima, acordando incoar las correspondientes diligencias, procedimiento abreviado núm. 748-2020, y citar a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29 de junio de 2021, don J.V.O., interpuso demanda de divorcio contencioso ante el Juzgado de Violencia sobre la Mujer de Vitoria-Gasteiz, solicitando medidas provisionales con fundamento en el traslado de doña O.V.R., y su hijo común a la ciudad de A Coruña. Alegó entonces don J.V.O., que la ahora recurrente en amparo interpuso la correspondiente denuncia penal contra su persona una vez tuvo conocimiento de la solicitud de medidas urgentes de protección y provisionales previas (admitidas por decretos de 23 y 24 de noviembre de 2020, respectivamente) que fueron archivadas por el Juzgado de Primera Instancia núm. 8 de Vitoria-Gasteiz en aplicación del art. 6.2 de la Ley 15/2015, de 2 de julio, de la jurisdicción voluntaria. Por su parte, negó además que la salida del hijo común con doña O.V.R., del País Vasco y su empadronamiento y escolarización en Galicia tuvieran lugar bajo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dichos argumentos, don J.V.O., solicitó que se estableciera que el domicilio del menor se encontraba en Vitoria-Gasteiz, ordenándose de inmediato su traslado a dicha ciudad; que se acordara la prohibición de la salida del menor del territorio nacional; la revocación de todos los poderes y consentimientos; la disolución de la sociedad de gananciales; la fijación de la patria potestad compartida; el otorgamiento en exclusiva de la guarda y custodia a ejercer en el domicilio familiar; y un régimen de visitas de la madre no custodia a desarrollar en la ciudad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decreto de 1 de julio de 2021, el Juzgado de Violencia sobre la Mujer de Vitoria-Gasteiz acordó admitir a trámite la demanda de divorcio y formar pieza de medidas provisionales con el núm. 12-2021.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Juzgado de Violencia sobre la Mujer de Vitoria-Gasteiz de la misma fecha, 1 de julio de 2021, se fijó el 22 de julio para la celebración de la vista para la adopción de las medidas provisionales que están en el origen de esta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julio de 2021, doña O.V.R., solicitó al Juzgado de Violencia sobre la Mujer de Vitoria-Gasteiz que se emitiera informe de especialistas a los efectos de determinar cuál de los dos progenitores era el más idóneo para ostentar la guarda y custodia del menor, cuál era el régimen de visitas más oportuno y la conveniencia de establecer un punto de encuentro a la vista de las circunstancias concretas del caso. La solicitud del informe de valoración del equipo técnico adscrito al juzgado fue rechazada por providencia de ese mismo día 14 de julio de 2021 por tratarse de un procedimiento provisional y urgente, indicando el juzgado el deber de doña O.V.R., de reiterar dicha petición en el procedimiento principal en el momento procesal oportuno. Con fundamento en igual razón sustentó el Juzgado de Violencia sobre la Mujer de Vitoria-Gasteiz su providencia de 16 de julio de 2021, por la que denegó las testificales cuya práctica solicitó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audiencia celebrada el 22 de julio de 2021 doña O.V.R., mostrándose conforme con la patria potestad compartida y la petición de que el menor no pudiera salir del territorio nacional, solicitó el reconocimiento a su favor de la guarda y custodia de E.V.V., el desarrollo de un régimen de visitas con el padre no custodio en el lugar más cercano al menor y la aprobación judicial de su empadronamiento y escolarización en A Coruña. El Ministerio Fiscal informó en el sentido de atribuir la guarda y custodia a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auto 81/2021, de 30 de julio, el Juzgado de Violencia sobre la Mujer núm. 1 de Vitoria-Gasteiz estimó parcialmente la demanda de medidas provisionales, tramitadas en pieza separada 12-2021, presentada por don J.V.O., acordando la separación provisional de los cónyuges, el reconocimiento de la guarda y custodia del hijo menor a doña O.V.R., y de la patria potestad a ambos progenitores, el régimen de visitas y la pensión de alimentos y la prohibición de la salida del menor del territorio nacional sin autorización de ambos progenitores o, en su caso, autorización judicial. De conformidad con la referida resolución judicial, la guarda y custodia del menor, atribuida a doña O.V.R., “deberá ejercerse en la ciudad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sustentó su fallo, según el tenor literal de su resolución, en el carácter provisional de las medidas adoptadas, en la ausencia de informes periciales sobre las capacidades parentales de los progenitores y en la debida observancia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deber de ejercicio de la guarda y custodia en la ciudad de Vitoria-Gasteiz respecta, el juzgado advierte que aunque doña O.V.R., justifica su traslado por entender que A Coruña “es el lugar donde mejor se salvaguarda el interés del menor por su seguridad y estabilidad respecto del domicilio anterior donde se produjeron [los] hechos que motivan la presente causa”, tratando así “de alejar al menor de un entorno de violencia, después de haber sufrido […] un episodio de agresión grave el 1 de noviembre y uno de amenazas”, la demandante de amparo “se marchó cuatro días después de que dicen [sic] ocurrieron los hechos, y no se ha acreditado que se haya dictado ninguna medida de protección ni respecto de la madre ni del menor, y el hecho de marcharse unilateralmente de la ciudad ha supuesto apartar a este menor de su entorno conocido y familiar, lejos del ambiente donde se ha criado el menor, […] sin autorización judicial ni el consentimiento del padre, pudiendo haber cambiado, por las mismas razones alegadas, de domicilio en esta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aunque reconociendo el derecho de los españoles a elegir libremente su lugar de residencia ex art. 19 CE, y con fundamento en la jurisprudencia del Tribunal Supremo sobre la materia, el juzgado considera que “el problema no es este”, sino que “el problema se suscita sobre la procedencia o improcedencia de llevar al menor a residir en otro lugar, lo que puede comportar un cambio radical tanto de su entorno social como parental; uno de los progenitores, con ejercicio conjunto de la patria potestad sobre los hijos, no tiene la facultad de decidir un traslado de residencia del menor que aparte al mismo de su entorno habitual, por corresponder tal facultad a ambos progenitores, necesitando para ello el progenitor del previo consentimiento del otro o, en su defecto, de la supletoria autorización judicial […]. El que uno de los progenitores quiera marcharse a residir a otra ciudad no arrastra con ello el derecho a llevarse a los hijos comunes consigo”.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visitas entre el hijo menor y el padre no custodio, el juzgado comienza recordando que el llamado derecho de visitas es “un complejo de derecho-deber o derecho-función, cuyo adecuado cumplimiento tiene por finalidad no satisfacer los deseos o derechos de los progenitores […] sino cubrir las necesidades afectivas y educacionales de los menores en aras a un desarrollo equilibrado de los mismos. […] tal derecho puede encuadrarse entre los de la personalidad y se fundamenta principal, aunque no exclusivamente, en una previa relación jurídico familiar entre visitantes y visitado. Su finalidad no es otra que fomentar las relaciones humanas paternas o materno-filiales y mantener latente la corriente afectiva padres-hijos, pese a la separación o el divorcio, procurando que a los niños no les afecte gravemente la separación de los padres”. Consecuentemente, el auto de medidas provisionales fijó un régimen de visitas a desarrollar en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fijó que los encuentros del menor con el progenitor no custodio tendrían lugar los miércoles desde las 16:00 horas hasta las 20:00 horas y fines de semana alternos desde el viernes a las 16:00 horas hasta el domingo a las 20:00 horas. Para las vacaciones, “teniendo en cuenta que el padre no ha tenido relación con el menor desde el mes de noviembre de 2020, durante el mes de agosto de 2021, se establecen unas visitas semanales para cada uno de los progenitores”, debiéndose realizar las entregas y recogidas del menor en el punto de encuentro familiar y siendo la madre la encargada de llevarle a Vitoria-Gasteiz cuando correspondan las visitas con 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27 de septiembre de 2021, doña O.V.R., interpuso incidente de nulidad de actuaciones ex arts. 241 de la Ley Orgánica del Poder Judicial (LOPJ) y 228 LEC contra el auto de medidas provisionales de 30 de julio, alegando vulneración del art. 24.1 CE, en su vertiente de derecho a una resolución motivada y fundada en Derecho. Por un lado, la vulneración denunciada se sustenta en una apreciada falta de valoración de las nuevas circunstancias del menor en orden a ponderar su interés superior ex art. 39 CE, a saber, su integración en la ciudad de A Coruña, lugar de residencia de los abuelos maternos, donde convive con doña O.V.R., y se encuentra empadronado y escolarizado. Por otro, la infracción del art. 24.1 CE se conecta con una injustificada restricción del art. 19 CE, entendiendo la recurrente que al obligar al ejercicio de la guarda y custodia en la ciudad de Vitoria-Gasteiz se adopta una decisión judicial que impone, de facto, una restricción no motivada de su libertad de circulación y residencia. Para la ahora demandante de amparo, en el auto controvertido no se ponderan las razones que, en interés superior del menor, justifican el traslado a Vitoria-Gasteiz, ni se identifican los riesgos o perjuicios que se derivan de su residencia en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respuesta a la solicitud de aclaración de don J.V.O., con fecha 15 de octubre de 2021, el Juzgado de Violencia sobre la Mujer de Vitoria-Gasteiz subsanó las omisiones del auto núm. 81/2021 especificando, por un lado, el deber de ambos progenitores de facilitar la comunicación con el padre o la madre, según correspondiera, aquellos días en los que el menor no se encontrara en su compañía y, por otro, que el lugar de entrega y recogida del menor los miércoles y viernes sería el centro escolar o, en su caso, el punto de encuentro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O.V.R., instó, a su vez, aclaración del auto de 15 de octubre de 2021, siendo la misma denegada el siguiente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Por auto de 17 de diciembre de 2021, el Juzgado de Violencia sobre la Mujer de Vitoria-Gasteiz desestimó el incidente de nulidad de actuaciones interpuesto por doña O.V.R., contra el auto núm. 81/2021, condenando a la parte solicitante al pago de todas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fundamento de Derecho segundo del referido auto, “[e]l hecho de que la decisión en cuanto al fondo no sea del agrado de la parte recurrente no significa que la juzgadora no haya motivado su decisión. La misma se encuentra suficientemente motivada cuando refiere que, a su juicio, el entorno social y parental de la menor se encuentra en Vitoria y que no existen motivos para el cambio de residencia [y que] corresponde a ambos progenitores, como titulares de la patria potestad, la facultad de decidir el posible cambio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representación procesal de doña O.V.R., solicitó aclaración del auto de 17 de diciembre de 2021 por entender que, al desestimar la anulación, el Juzgado de Violencia sobre la Mujer de Vitoria-Gasteiz no se pronunció sobre la afectación de su libertad de circulación y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desestimada por auto de 2 de febrero de 2022 al considerar el juzgado que la resolución respecto de la cual se solicitaba la aclaración incluía “de forma detallada los motivos por los que se considera que no se ha incurrido en causa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considera que el auto 81/2021, de 30 de julio, por el que el Juzgado de Violencia sobre la Mujer núm. 1 de Vitoria-Gasteiz estimó parcialmente la demanda de medidas provisionales (12/2021, presentada por don J.V.O., vulnera el art. 24.1 CE en su vertiente de derecho a una resolución judicial motivada y fundada en Derecho, en conexión con el principio del interés superior del menor (art. 39 CE) y con el derecho a la libertad de circulación y residencia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para doña O.V.R., el auto de medidas provisionales, que resuelve el ejercicio de la custodia del hijo común con don J.V.O., en la ciudad de Vitoria-Gasteiz (lugar de la residencia familiar hasta el 5 de noviembre de 2020, cuando la demandante de amparo se traslada a la ciudad de A Coruña), no ponderó la nueva situación del menor, a saber, su integración en la nueva ciudad de residencia donde se encuentra empadronado y escolarizado, conviviendo con su madre y en el entorno de la familia de esta. Para la ahora demandante de amparo, el auto recurrido no tuvo en cuenta las razones que justificaron, en beneficio del menor, su traslado desde Vitoria, siendo su nuevo entorno más seguro y encontrándose ya su hijo escolarizado en Galicia. Por otro lado, para la recurrente en amparo, el auto 81/2021 restringe inmotivadamente su derecho a la libertad de circulación y residencia, eludiendo la resolución controvertida cualquier argumento sobre el que sustentar el regreso a la ciudad de Vitoria-Gasteiz, máxime cuando “el motivo de la ruptura de la relación se produce por sucesos graves de trascendencia penal”. En opinión de la ahora demandante de amparo, la resolución objeto del presente recurso no identifica los beneficios ni los perjuicios que podrían repercutir en la situación del menor el regreso a la ciudad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56 de la Ley Orgánica del Tribunal Constitucional (LOTC) y por primer otrosí digo, doña O.V.R., interesó la suspensión del auto 81/2021, de 30 de julio, del Juzgado de Violencia sobre la Mujer de Vitoria-Gasteiz. Y ello por entender que el traslado de su residencia a la ciudad de Vitoria-Gasteiz afectaría a la seguridad, estabilidad y tranquilidad adquiridas por el menor y la madre en su nuevo entorno, obligando a esta a asumir una pena no escrita, la de soportar la cercanía de su agresor. Para doña O.V.R., tanto ella como su hijo menor vivían en un entorno seguro desde el 5 de noviembre de 2020, resultando “extraordinario” que se le obligara a regresar e instalarse en la ciudad donde reside su agresor.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mediante providencia de 10 de octubre de 2022, acordó admitir a trámite el recurso de amparo apreciando que concurre en el mismo especial trascendencia constitucional (art. 50.1 LOTC) al plantear un problema o afectar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al Juzgado de Violencia sobre la Mujer núm. 1 de Vitoria-Gasteiz a fin de que, en plazo no superior a diez días, remitiera certificación o fotocopia adverada de las actuaciones correspondientes al procedimiento de medidas provisionales 12-2021-P, debiendo emplazar previamente a quienes hubieran sido parte, excepto la recurrente en amparo, para que en el plazo de diez días pudieran comparecer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octubre de 2022 se acordó, a solicitud de la parte actora,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1 de febrero de 2023 en el registro de este tribunal, don J.V.O., interesó la denegación de la suspensión solicitada por pérdida sobrevenida de objeto, al haber dictado el Juzgado de Violencia sobre la Mujer de Vitoria-Gasteiz sentencia definitiva, núm. 2/2023, de 23 de enero, en el procedimiento de divorcio contencioso núm. 102-2021. A la solicitud de desestimación de la suspensión de pérdida de objeto, doña O.V.R., opuso la pendencia de otros procedimientos instados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del Tribunal Constitucional de 11 de noviembre de 2022, se acordó tener por personada y parte en el procedimiento a la procuradora doña Isabel Gómez Pérez de Mendiola, en nombre y representación de don J.V.O., y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J.V.O., formuló alegaciones por escrito registrado el 12 de diciembre de 2022. Adujo que doña O.V.R., sacó abruptamente al hijo común de su entorno no solo sin el consentimiento de su padre, sino sin tener en cuenta los propios intereses y deseos del menor. Esta parte alegó que el derecho a la libertad de circulación y residencia ex art. 19 CE debe ejercerse de buena fe, sin entorpecer el ejercicio de otros derechos y cediendo “ante derechos a los que la ley atribuya mayor rango o protección”. Para don J.V.O., con su recurso de amparo la demandante pretende consolidar una situación que nace de una grave y unilateral vulneración de derechos, resultando el auto de 30 de julio de 2021 suficientemente motivado al explicar por qué la situación impuesta unilateralmente por doña O.V.R., es contraria al interés del menor y que este se protege reintegrándolo en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14 de diciembre de 2022, doña O.V.R., reiteró, en esencia, los argumentos en que fundamentó su recurso de amparo, a saber, la vulneración del art. 24.1 CE con motivo de la falta de ponderación de la nueva situación del menor y, en conexión con su libertad de circulación y residencia, por no identificar los beneficios que reporta al menor su reintegración en Vitoria-Gasteiz ni, sensu contrario, los perjuicios que se derivarían de su permanencia en A Coruña. En su escrito, doña O.V.R., aduce que el órgano judicial debería haber tenido en cuenta su condición de víctima de violencia de género, recordando que el temor y miedo de las víctimas no depende de la existencia o no de una orden de protección. Para doña O.V.R., la edad del menor y su nuevo entorno escolar, residencial, social y familiar debieron ser objeto de un examen eficaz, en el que además tendría que haberse considerado el deber de protección del menor frente a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sus alegaciones el día 21 de diciembre de 2022 en el registro de este tribunal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sobre el interés superior del menor y el deber de motivación reforzada de las resoluciones judiciales en conexión con el mandato del art. 39 CE, el fiscal interesó el otorgamiento a doña O.V.R., del amparo solicitado, el restablecimiento en sus derechos y la consecuente anulación del auto 81/2021 del Juzgado de Violencia sobre la Mujer núm. 1 de Vitoria-Gasteiz. Advierte la Fiscalía que el auto controvertido desconoce las alegaciones de doña O.V.R., sobre la existencia de violencia. Y ello a pesar de que la resolución impugnada no solo admite que la agresión fue denunciada, sino que acuerda que, en cumplimiento del régimen de visitas a favor del progenitor no custodio, las entregas del menor se realicen a través del punto de encuentro familiar, lo que en opinión de la Fiscalía supone reconocer la existencia de una situación grave de conflicto. Para el fiscal, el juzgado no ponderó elementos determinantes para su decisión, esto es, la existencia de un episodio de violencia de género, cuando el Ministerio Fiscal ya había formulado escrito de acusación. Se advierte, además, la inobservancia del art. 94 CC, en su redacción dada por la Ley 8/2021, de 2 de junio, por las resoluciones judiciales posteriores que confirmaron la impugnada. Finalmente, para la Fiscalía, el auto núm. 81/2021 no solo condiciona, sino que “anula la libertad de elección de residencia” de doña O.V.R., al impedirle optar por mantener su domicilio en Galicia e imponerle, sin cobertura legal de ningún tipo, el traslado al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del secretario de justicia de la Sala Segunda del Tribunal Constitucional de 18 de enero de 2023, y en virtud de lo acordado por el Pleno del Tribunal Constitucional el día 17 de enero de 2023, publicado en el “BOE” de 19 de enero, el presente recurso de amparo fue turnado a la Sala Segunda del Tribunal Constitucional,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auto núm. 81/2021, de 30 de julio, dictado en los autos de medidas provisionales 12/2021 por el Juzgado de Violencia sobre la Mujer núm. 1 de Vitoria-Gasteiz, aclarado por auto de 15 de octubre del mismo año y contra el que se interpuso incidente de nulidad de actuaciones, desestimado el 17 de diciembre de 2021 y respecto del que se solicitó aclaración, rechazada el 2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el auto núm. 81/2021 vulnera su derecho a la tutela judicial efectiva, en la faceta de derecho a una resolución judicial motivada y fundada en Derecho (art. 24.1 CE), en conexión con el principio del interés superior del menor (art. 39 CE) y con su derecho a la libertad de circulación y residencia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sentencia, doña O.V.R., defiende que el auto impugnado, por el que se le impuso con carácter provisional el ejercicio de la guarda y custodia del hijo menor que tiene en común con don J.V.O., en la ciudad de Vitoria-Gasteiz, conculca su derecho a la tutela judicial efectiva al no haber ponderado suficientemente, a efectos de la salvaguarda del interés superior del menor, la situación de integración de su hijo en su nueva ciudad de residencia, que es la de sus abuelos maternos y donde se encuentra empadronado y escolarizado. En su escrito de alegaciones, doña O.V.R., aduce que el regreso a Vitoria-Gasteiz, de donde dice haber huido con motivo de un episodio de violencia de género, supondría despojarle a ella y a su hijo de un nuevo entorno social y familiar tranquilo y estable, sometiéndola a la pena no escrita de soportar la cercanía de su agresor. En opinión de la ahora demandante de amparo, la resolución objeto de esta sentencia habría además vulnerado el art. 24.1 CE en conexión con el art. 19 CE, al no identificar el juzgado los beneficios que reporta al menor el regreso a la ciudad de Vitoria-Gasteiz o, por el contrario, los perjuicios que se derivarían del mantenimiento de su nueva residencia en A Coruña, dejando de este modo a su resolución huérfana de todo argumento que fundamente lo que considera una restricción, por la vía de los hechos, de su libertad de circulación y residencia. Por tanto, las quejas de doña O.V.R., se circunscriben en exclusiva al deber de ejercicio de la guarda y custodia del hijo menor que tiene en común con don J.V.O., en Vitoria-Gasteiz, no pudiendo deducir del tenor de la demanda de amparo reproche alguno dirigido contra los demás extremos sobre los que se pronuncia el auto de 30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sus alegaciones, la representación procesal de don J.V.O., arguye que doña O.V.R., sacó al menor abruptamente, y sin cobertura legal, de su entorno habitual sin tener para ello el consentimiento paterno ni haber considerado los intereses y deseos de su hijo, tratando de consolidar, con su recurso de amparo, una situación que nace de una grave y unilateral vulneración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del recurso, solicitando el restablecimiento de doña O.V.R., en sus derechos y la consecuente anulación del auto 81/2021 del Juzgado de Violencia sobre la Mujer de Vitoria-Gasteiz. Para la Fiscalía, el auto controvertido desconoció las alegaciones de doña O.V.R., sobre la existencia de violencia de género, incurriendo de este modo en una vulneración del art. 24.1 CE que, en conexión con el art. 19 CE, habría sido igualmente conculcado con motivo de la imposición de un deber, carente de respaldo legal, de traslado a la ciudad de Vitoria-Gasteiz para el ejercicio de la guarda y custodia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que los hechos que conforman los antecedentes del recurso de amparo al que da respuesta esta sentencia hacen referencia a una persona menor de edad, y con ánimo de preservar su intimidad, la presente sentencia no incluye la identificación completa de esta ni la de sus parientes inmediatos que aparecen mencionados en las actuaciones, por aplicación de las potestades atribuidas a este tribunal por el art. 86.3 LOTC y el acuerdo del Pleno de 23 de julio de 2015, por el que se regula la exclusión de los datos de identidad personal en la publicación de las resoluciones jurisdiccionales (“BOE” núm. 178,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Canon de enjuiciamiento. El deber de motivación reforzada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comprende, entre otros,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(SSTC 132/2007, de 4 de junio, FJ 4, y 115/2024, de 23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de motivación ex art. 24.1 CE es además reforzado cuando las resoluciones afectan o inciden sobre los valores superiores del ordenamiento constitucional o derechos fundamentales sustantivos. Como hemos recordado en reciente jurisprudencia, “[c]uando lo que está en juego son los valores superiores del ordenamiento constitucional o los derechos fundamentales sustantivos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El estándar de las exigencias derivadas del deber de motivación es más riguroso en estos casos, de modo que nuestra jurisprudencia exige motivaciones concordantes con los supuestos en los que la Constitución permite la afectación del valor o derecho en liza”. La obligación de motivación exige aquí la exteriorización del “nexo de coherencia entre la decisión adoptada, la norma que le sirve de fundamento y los fines que justifican la institución”, no teniendo así cabida “una motivación estereotipada” [SSTC 113/2021, de 31 de mayo, FJ 2 a) (ii), y 115/2024, de 23 de septiembre, FJ 2, y las sentencias en las mismas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nos ocupa este deber de motivación reforzada es múltiple, pues este canon lo hemos exigido en asuntos relacionados con el principio del interés superior del menor por cuanto tiene su proyección constitucional en el art. 39 CE y se define como rector e inspirador de todas las actuaciones de los poderes públicos, tanto administrativas como judiciales (STC 53/2024, de 8 de abril, FJ 3), pero también cuando se ha alegado la afectación del derecho fundamental a la no discriminación por razón de sexo del art. 14 CE (STC 173/2013, de 10 de octubre, FJ 3) y, consecuentemente (STC 48/2024, de 8 de abril, FJ 5), en contextos de violencia contra la mujer (STC 115/2024, de 23 de septiembre, FFJJ 3 y 4). El auto objeto del amparo que ahora resolvemos podría, además, afectar el derecho de libertad de circulación y residencia de la demandante, siendo este, en su caso, también argumento suficiente para exigir una motivación reforzada que obligue al órgano judicial a tener en consideración todos los derechos en 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deber de motivación judicial reforzada por afectación del interés superior del menor. Regímenes de guarda, custodia y visitas en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STC 53/2024, de 8 de abril, FJ 3, es doctrina consolidada de este tribunal el deber de todos los poderes públicos de atender “de un modo preferente la situación del menor de edad, observando y haciendo observar el estatuto del menor como norma de orden público […] incluso si ello significa atemperar la rigidez de algunas normas procesales o sacrificar los legítimos intereses y perspectivas de terceros”. El interés superior del menor es, “considerado en abstracto, un bien constitucional suficientemente relevante para motivar la adopción de medidas legales que restrinjan derechos y principios constitucionales”. Pero la decisión de lo que sea en cada caso más beneficioso para el interés general del menor “corresponde tomarla a los jueces y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superior del menor es la consideración primordial a la que deben atender todas las medidas concernientes a los menores que tomen las instituciones públicas o privadas de bienestar social, los tribunales, las autoridades administrativas o los órganos legislativos” (por todas, STC 126/2024, de 21 de octubre, FJ 2). Y aunque compete a este tribunal examinar si la motivación ofrecida “para adoptar cuantas medidas conciernen a los menores, está sustentada en su mayor beneficio y así comprobar que no se han lesionado sus derechos fundamentales”, es a los órganos judiciales a quienes corresponde delimitar el contenido del interés superior del menor en cada caso ofreciendo para ello, dada la afectación de un principio superior de nuestro ordenamiento, una motivación reforzada (SSTC 141/2000, de 29 de mayo, FJ 5; 217/2009, de 14 de diciembre, FJ 5; 127/2013, de 3 de junio, FJ 6, y 138/2014, de 8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Motivar “debidamente las resoluciones en las que están concernidos los intereses y derechos de los menores (art. 39 CE), significa explicitar el juicio de ponderación entre los valores y derechos en liza para hacer así efectiva la exigencia de proporcionalidad inherente a la justicia” (entre otras, SSTC 178/2020, de 14 de diciembre, FJ 3; 2/2024, de 15 de enero, FJ 2, y 53/2024, de 8 de abril, FJ 3), encontrándonos en estos casos “ante un juicio de ponderación que debe constar expresamente en la resolución judicial, identificando los bienes y derechos en juego que pugnan de cada lado, a fin de poder calibrar la necesidad y proporcionalidad de la medida adoptada” (STC 176/2008, de 22 de diciembre, FJ 6). Una pluralidad de bienes y derechos que siempre habrán de tener presentes los órganos judiciales en sus decisiones sobre los regímenes de guarda y custodia, en las que el interés superior del menor ha de operar como contrapeso de los derechos de cada progenitor (SSTC 106/2022, de 13 de septiembre, FJ 2, y 176/2008, de 22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consolidada que, cuando está en juego el interés de los menores, sus derechos exceden del ámbito estrictamente privado y pasan a tener una consideración más cercana a los elementos de ius cogens (SSTC 106/2022, de 13 de septiembre, FJ 2, y 185/2012, de 17 de octubre, FJ 4). Es en este sentido que hemos afirmado que en la atribución y ejecución de los regímenes de guarda, custodia y visitas el interés superior del menor ha de operar como contrapeso de los derechos de cada progenitor (SSTC 106/2022, de 13 de septiembre, FJ 2, y 176/2008, de 22 de diciembre, FJ 6). Y ello se predica tanto de la toma de decisiones provisionales, en el marco de la adopción de medidas cautelares, como en la adopción de decisiones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el deber de motivación reforzada que impone el art. 24.1 CE a aquellas decisiones que afectan o inciden en el interés superior del menor se proyecta, lógicamente, sobre las resoluciones judiciales, provisionales o definitivas, de atribución y ejecución de los regímenes de guarda, custodia y visitas. En estos casos, los jueces y tribunales deben hacer constar expresamente en sus resoluciones la ponderación de todos los bienes y derechos en juego, teniendo siempre presente el interés superior del menor, en cuya identificación habrán de tener en cuenta, entre otros aspectos, su deber de prevenir y protegerle contra la violencia, sea el o la menor víctima presencial o instrumental. Así lo impone el art. 2 de la Ley Orgánica 1/1996, de 15 de enero, de protección jurídica del menor, en virtud de cuyo apartado 2 c), a efectos de la interpretación y aplicación en cada caso del interés superior del menor, nuestros órganos jurisdiccionales han de tener presente la conveniencia de que la vida y desarrollo de los y las menores “tenga lugar en un entorno familiar adecuado y libre de violencia”. Deber de protección y prevención que se predica frente a los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recordado en esta sentencia, el canon reforzado de motivación ex art. 24.1 CE es exigido por este tribunal cuando el derecho afectado es el derecho a la igualdad y la no discriminación. Y el auto objeto del recurso de amparo que ahora resolvemos afecta al derecho a la igualdad y a la prohibición de discriminación por razón de sexo desde el momento en que la razón que arguye la recurrente como motivo del cambio de residencia junto con su hijo menor es su condición de víctima de violencia machista. Y “los delitos relacionados con la violencia de género […] constituye[n] la forma más grave de discriminación contra la mujer” (STC 48/2024, de 8 de abril, FJ 5). Se requería por ello en este caso que el órgano judicial autor de la resolución recurrida evidenciara que la decisión adoptada, que suponía el deber de doña O.V.R., de ejercer la guarda y custodia de su hijo menor en la ciudad de residencia de su presunto maltratador, tuvo en cuenta los indicios de violencia de género (STC 115/2024, de 23 de septiembre, FJ 3, y 145/2024, de 2 de diciembre, FJ 4). Indicios que también se proyectan a la seguridad y bienestar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declaramos en las sentencias de esta Sala SSTC 115/2024, de 23 de septiembre, FJ 3, y 145/2024, de 2 de diciembre, FJ 4, en sus resoluciones sobre regímenes de guarda, custodia y visitas, los órganos judiciales deben tener en cuenta los incidentes de violencia de género. Un deber que, asumido por el vigente art. 94 CC y por la Ley del Parlamento Vasco 7/2015, de 30 de junio, de relaciones familiares en supuestos de separación o ruptura de los progenitores, es contrario a la práctica de equiparar el interés superior del menor “con mantener el contacto con ambos progenitores, independientemente de que su padre sea un maltratador —o presunto maltratador— y de la exposición del niño a la violencia”. Por tanto, la exposición a la violencia de género es un elemento a considerar en la definición judicial del interés superior del menor cuando se trata de resolver sobre la fijación y ejecución de las medidas paternofiliales.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apuntado en fundamentos previos, el art. 2.2 de la Ley Orgánica 1/1996, de 15 de enero, de protección jurídica del menor, incorpora, como criterio para la delimitación del interés superior del menor, la conveniencia de que su vida y desarrollo tengan lugar en un ambiente familiar adecuado y libre de violencia. Asimismo, la Ley Orgánica 1/2004, de 28 de diciembre, de medidas de protección integral contra la violencia de género, en sus arts. 1, 61 y 65, reconoce a los menores como víctimas directas de violencia de género e incide en la obligación de los jueces de pronunciarse sobre las medidas que afectan a los menores que dependen de la mujer sobre la que se ejerce violencia. Y a todo ello debemos añadir que en nuestra STC 106/2022, de 13 de septiembre, en la que declaramos constitucional la modificación del también referido art. 94 CC operada por la Ley 8/2021, de 2 de junio, que prescribió la suspensión (o, en su caso, el no establecimiento) del régimen de estancias, visitas y/o comunicación respecto del progenitor incurso en un proceso penal iniciado por violencia, ya advertimos (FJ 4) que la autoridad judicial competente habrá de valorar si de las declaraciones de las partes y de las pruebas practicadas puede concluirse “la existencia de indicios fundados de violencia doméstica o de género, en la que se comprende también ‘la violencia que con el objetivo de causar perjuicio o daño a las mujeres se ejerza sobre sus familiares o allegados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Concluyendo, en las decisiones sobre los regímenes de guarda, custodia y visitas, provisionales o definitivas, los órganos judiciales tienen un deber de motivación reforzada para cuyo cumplimiento habrán de tener en cuenta los indicios de violencia de género. Nuestros jueces y tribunales no pueden así asumir que el interés superior del menor es equivalente a mantener relaciones con ambos progenitores, ni promover la perpetuación de funciones estereotipadas tradicionalmente atribuidas a las mujeres, obviando con ello las dinámicas de sometimiento inherentes a la violencia de género (SSTC 115/2024, de 23 de septiembre, FFJJ 2 y 3, y 145/2024, de 2 de diciembre, FJ 5). Y este deber de consideración de las dinámicas inherentes a la violencia de género supone también una obligación de prevención y protección contra la violencia de los hijos e hijas de las mujeres víctimas de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interés superior del menor como elemento de modulación de la libertad de circulación y residencia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domicilio de los hijos y de las hijas menores es una decisión que, por regla, atendiendo a su trascendencia para la vida de los y las menores, corresponde en conjunto a ambos progenitores. El apartamiento del menor de su entorno habitual y la consecuente afectación del derecho de relacionarse con el progenitor no custodio explican que la decisión sobre el cambio de residencia de los hijos y las hijas menores requiera del consentimiento de ambos progenitores o, en su caso, de autorización judicial, debiendo en este último caso el juez competente ponderar los derechos e intereses en juego para garantizar la necesidad y proporcionalidad de, en su caso, el cambio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nuestra STC 60/2010, de 7 de octubre, FJ 8, la obligación de residir en un lugar determinado (STC 260/2007, de 20 de diciembre, FJ 5) afecta necesariamente al art. 19 de nuestra Constitución. Y junto a esa obligación de residir en lugar determinado, que en la STC 260/2007, estaba circunscrita al caso de medidas cautelares en procedimientos sancionadores relativos a la expulsión de personas extranjeras, este tribunal ha considerado que también queda afectada la libertad de circulación y residencia, entre otros, en supuestos concernientes a la obligación de comparecer periódicamente ante el juzgado (STC 85/1989, de 10 de mayo, FJ 3), la imposición de la pena de prohibición de aproximarse a la víctima [STC 60/2010, de 7 de octubre, FJ 8 a)] o la extradición pasiva de un nacional español (STC 205/2012, de 12 de noviembre, FJ 4), llegando incluso a afirmar en esta sede, aunque bajo circunstancias muy concretas, que podrá apreciarse una vulneración del art. 19 CE cuando un acuerdo del poder público impida “que el ciudadano opte por mantener su residencia en donde ya la tenga, o por trasladarla a un lugar distinto” (STC 186/2013, de 4 de noviembre, FJ 6, en remisión a la STC 90/1989, de 11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de este modo concluir que la imposición del lugar de residencia puede efectivamente afectar el art. 19 CE, dando incluso lugar a la apreciación de su vulneración si no se deja opción para el mantenimiento o traslado del domicilio. Por ello, conforme a nuestra jurisprudencia sobre las resoluciones judiciales que afectan derechos sustantivos y principios superiores de nuestro ordenamiento ex art. 24.1 CE, tal medida debe ser objeto de motivación reforzada. Un canon que será de este modo también el aplicable en aquellos casos en los que la afectación de las libertades de circulación y de residencia tenga origen, como en este caso, en la atribución y ejecución judicial de los regímenes de guarda, custodia y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 la jurisprudencia constitucional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el canon de enjuiciamiento, debemos ahora analizar la decisión impugnada bajo el parámetro constitucional sentado en los anteriores fundamentos jurídicos. Y a tales efectos debe recordarse aquí que es objeto del recurso de amparo que ahora resolvemos el auto 81/2021, de 30 de julio, por el que el Juzgado de Violencia sobre la Mujer núm. 1 de Vitoria-Gasteiz atribuyó en exclusiva a doña O.V.R., la guarda y custodia del hijo menor que tenía en común con don J.V.O., imponiéndole su ejercicio en Vitoria-Gasteiz, de donde la ahora demandante de amparo alega haber huido por razones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Violencia sobre la Mujer de Vitoria-Gasteiz fundamentó su auto, dictado en pieza de medidas provisionales núm. 12-2021, en la naturaleza cautelar de la resolución, en la inexistencia de informes periciales sobre las capacidades parentales de los progenitores y en la aplicación del principio del interés superior del menor, atendiendo, a este último respecto, a la inexistencia de medidas de protección y al carácter unilateral y la falta de sustento legal de la decisión del cambio de residencia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advierte que doña O.V.R., justificó su traslado por entender que al cambiar el domicilio de su hijo menor estaba salvaguardando su interés superior al proporcionarle un entorno seguro y estable. Sin embargo, partiendo de que la ahora demandante de amparo se marchó cuatro días después de que, según lo denunciado, tuvieran lugar los hechos presuntamente constitutivos de delito, el auto controvertido pone de relieve la inexistencia de medidas de protección y el hecho de que el traslado unilateral supuso apartar al menor de donde nació, residió y estuvo escolarizado hasta el momento del traslado. Entiende, además, que doña O.V.R., podría haber cambiado de domicilio en Vitoria-Gasteiz, concluyendo a este respecto que “[e]l que uno de los progenitores quiera marcharse a residir a otra ciudad no arrastra con ello el derecho a llevarse a los hijos comunes consigo”.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establecer las medidas provisionales, previas a la sentencia de divorcio en este caso, el Juzgado de Violencia sobre la Mujer núm. 1 de Vitoria-Gasteiz tenía un deber de motivación reforzada dado que: a) con su resolución estaba obligando a un nuevo cambio de domicilio de un menor de corta edad; b) el desplazamiento inicial no consentido del menor venía justificado, según la denuncia planteada por su madre, por la preexistencia de una situación de violencia de género; y c) la obligación del ejercicio de la guarda y custodia en Vitoria-Gasteiz suponía, además, una obligación derivada de cambio de domicilio de la progenitora custodia, ahora demandante de amparo. El mencionado juzgado, en su labor de ponderación, tenía consecuentemente que manejar en su resolución el interés superior del menor como contrapeso de los derechos de los progenitores, sin poder obviar a tales efectos los indicios de violencia de género, ni desconocer la posible afectación de las libertades de circulación y residencia de los progenitores con motivo de la fijación y ejecución de las medidas objeto de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dictarse el auto controvertido, doña O.V.R., y su hijo llevaban más de ocho meses residiendo en A Coruña, donde el menor estaba empadronado y escolarizado, y donde doña O.V.R., se encontraba trabajando y contaba con el apoyo de su familia a efectos de conciliación. Pero frente a las alegaciones de doña O.V.R., relativas a un nuevo contexto social y familiar estable y seguro para ambos, el auto de 30 de julio de 2021 no arguye razón concreta alguna sobre los beneficios para el menor de su regreso a Vitoria-Gasteiz. Más allá de que aquel fue el lugar donde nació y vivió hasta su traslado a Galicia, la resolución judicial objeto del amparo que ahora resolvemos no identifica los perjuicios concretos del ejercicio de la guarda y custodia en A Coruña hasta que se dictara sentencia definitiva de divorcio, ni los beneficios específicos que reportaría al menor su regreso a la ciudad de residencia del padre, frente a quien en ese momento el mismo juzgado había incoado y estaba siguiendo un proceso penal por varios delitos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sobre regímenes de guarda, custodia y visitas, sean las mismas definitivas o provisionales, los órganos judiciales deben desarrollar un ejercicio de ponderación en el que, al delimitar el contenido y alcance del interés superior del menor como límite de los derechos y legítimos intereses de los progenitores, tengan presentes los indicios de violencia de género y las dinámicas inherentes a la violencia machista (SSTC 115/2024, de 23 de septiembre, FJ 3, y 145/2024, de 2 de diciembre, FJ 4). Extremos que, como han aducido ante este tribunal tanto doña O.V.R., como la Fiscalía, fueron insuficientemente considerados por el auto 81/2021, de 30 de julio, del Juzgado de Violencia sobre la Mujer de Vitoria-Gasteiz.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único argumento en respuesta a la alegada condición de víctima de violencia de género y a la conveniencia de mantener un entorno más seguro y estable, la resolución recurrida en amparo se refiere a la inexistencia de medidas de protección, soslayando algunos aspectos de especial relevancia a efectos del cumplimiento del mencionado canon reforzado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1 de diciembre de 2020, el Juzgado de Violencia sobre la Mujer núm. 1 de A Coruña denegó la orden de protección solicitada por doña O.V.R. Pero a la hora de valorar la fuerza indiciaria de dicha negativa son varios aspectos los que, en cumplimiento del art. 24.1 CE, el Juzgado de Violencia sobre la Mujer núm. 1 de Vitoria-Gasteiz debía haber ponderado. Debía haber tenido en cuenta que la existencia de una orden de protección no es el único indicio de violencia de género de necesaria consideración, ni su denegación puede entenderse con efectos excluyentes frente a la concurrencia de otras señales de violencia machista. En este sentido, por un lado, cabe recordar ahora que los días 24 y 25 de noviembre de 2020 se emitieron, respectivamente, certificado de la fiscalía provincial de A Coruña de indicios de delito y, por los servicios sociales del ayuntamiento de la misma localidad gallega, informe sobre la condición de víctima de violencia de género de doña O.V.R. Documentos que son considerados como suficientes para acreditar la existencia de indicios en su ámbito de aplicación por la Ley 11/2007, de 27 de julio, gallega para la prevención y el tratamiento integral de la violencia de género [art. 5, apartados c) y e)] y que, sin embargo, no son mencionados ni en el auto que deniega la orden de protección ni en el que constituye el objeto del presente recurso de amparo. Por otro lado, el Juzgado de Violencia sobre la Mujer de Vitoria-Gasteiz asumió la competencia para instruir la causa en la que constaba doña O.V.R., como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la mera alusión a la inexistencia de una orden de protección en el auto controvertido no supera el canon reforzado de motivación que exige el art. 24.1 CE en contextos de violencia de género, mandato que igualmente desatiende el Juzgado de Violencia sobre la Mujer núm. 1 de Vitoria-Gasteiz al incurrir en respuestas basadas en estereotipos de género completamente ajenas al deber de nuestros jueces y tribunales de fundamentar las decisiones que afectan derechos fundamentales sustantivos o valores superiores de nuestro ordenamiento jurídico. Más concretamente, el auto núm. 81/2021, de 30 de julio, afirma que doña O.V.R., denunció cuatro días después de que ocurrieran los hechos presuntamente constitutivos de violencia de género y que podría haberse mudado de residencia en la misma ciudad de origen. De este modo, el auto de 30 de julio de 2021 incurre en una suerte de revictimización de doña O.V.R., al reprocharle una denuncia tardía y el no haber mantenido su domicilio en la misma ciudad en la que se encontraba la residencia de su presunto maltratador, pues no puede desconocer un órgano jurisdiccional, menos aún si se trata de un juzgado de violencia sobre la mujer, el temor que la violencia machista infunde en sus víctimas a la hora de denunciar y tomar decisiones sobre los hijos e hijas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resolución, el Juzgado de Violencia sobre la Mujer núm. 1 de Vitoria-Gasteiz soslayó además la debida consideración de su obligación de proteger de todo riesgo de violencia al hijo de doña O.V.R. En el ejercicio de ponderación de todos los derechos e intereses en liza al que están obligados nuestros órganos judiciales en la atribución y ejecución, provisional y definitiva, de los regímenes de guarda, custodia y visitas, siempre debe estar presente, al definir su interés superior, el deber de prevenir y proteger contra la violencia a los menores. Deber que ignoró el juzgado cuestionado al no motivar expresamente en su resolución las causas concretas que justificaban el ejercicio de la guarda y custodia en Vitoria-Gasteiz y, por tanto, su traslado, y el de su progenitora custodia, a la ciudad donde residía su padre, quien en ese momento era investigado por hechos presuntamente constitutivos de delito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así estimar la invocada lesión del art. 24.1 CE, en conexión con el art. 39 CE, por considerar que el auto recurrido en amparo no ponderó adecuadamente los derechos e intereses en juego al imponer el ejercicio de la guarda y custodia del menor en Vitoria-Gasteiz sin tener en cuenta sus nuevas circunstancias y las dinámicas inherentes a la violencia de género (SSTC 115/2024, de 23 de septiembre, FJ 3, y 145/2024, de 2 de diciembre, FJ 4). Estimación que corresponde también frente a la alegada vulneración del deber de motivación reforzada ex art. 24.1 CE en conexión con el derecho de libertad de circulación y residencia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ya oportunidad de advertir en esta sentencia, en nuestro ordenamiento el cambio de residencia de los hijos y las hijas menores de padres separados o divorciados requiere del previo consentimiento de ambos progenitores o, en su defecto, de previa autorización judicial. Ahora bien, este deber legal puede resultar judicialmente flexibilizado. El interés superior del menor y los derechos de los progenitores ex art. 19 CE pueden excepcionar el deber legal de consentimiento mutuo o, en su defecto, de previa autorización judicial. Y este tribunal puede ya afirmar que la existencia de indicios de violencia de género es un aspecto a ponderar por el juez en aplicación de nuestra legislación civil relativa al traslado de menores, hijos e hijas de padres en proceso de separación y divorcio, pues escapa a toda lógica jurídica exigir a una madre que denuncia ser víctima de violencia de género que pida el consentimiento de su pareja para alejar al menor de un potencial riesgo para su vida e integridad. Pero el Juzgado de Violencia sobre la Mujer núm. 1 de Vitoria-Gasteiz no solo no tuvo en cuenta en su resolución los indicios de violencia de género y su ineludible conexión con el deber de protección del menor, sino que obvió los efectos de su decisión sobre la libertad de circulación y residencia de doña O.V.R. El juzgado de Vitoria-Gasteiz, a la luz de las circunstancias concretas del caso, no motivó suficientemente la imposición de la ejecución de la guarda y custodia del hijo de doña O.V.R., en la ciudad de residencia de su presunto agresor, sin dejar a la ahora demandante de amparo otra alternativa que la de trasladarse a Vitoria-Gasteiz. Dicha decisión se adoptó sin tener en cuenta el potencial riesgo para doña V.O.R., y su hijo y sin identificar los beneficios concretos que reportaría al menor volver a su ciudad de nacimiento desconociendo por ello el juzgado cuestionado su deber de motivación reforzada ex art. 24.1 CE en conexión, no solo con el art. 39 CE, sino también con 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así sino concluir que el Juzgado de Violencia sobre la Mujer núm. 1 de Vitoria-Gasteiz no expresó de forma suficiente en su auto las razones concretas que justificaron su decisión, incumpliendo con ello las exigencias constitucionales de motivación de las resoluciones judiciales en el ámbito del derecho fundamental garantizado por el art. 24.1 CE, en relación con los arts. 39 y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sobre el fondo de este recurso supone, en todo caso, que no resulte procedente resolver sobre la medida cautelar de suspensión solicitada por la demandante, lo que determina que deba acordarse el archivo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denuncia de vulneración del derecho fundamental a la tutela judicial efectiva de la recurrente, en su vertiente del derecho a una resolución judicial motivada y fundada en Derecho (art. 24 CE) en conexión con el principio del interés superior del menor y con la libertad de circulación y residencia (arts. 39 y 19 CE), conlleva la declaración de nulidad del auto núm. 81/2021, de 30 de julio, del Juzgado de Violencia sobre la Mujer núm. 1 de Vitoria-Gasteiz.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O.V.R.,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 en conexión con el principio del interés superior del menor (art. 39 CE) y la libertad de circulación y residencia (art. 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del auto núm. 81/2021, de 30 de julio, dictado por el Juzgado de Violencia sobre la Mujer núm. 1 de Vitoria-Gasteiz.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César Tolosa Tribiño y don Enrique Arnaldo Alcubilla a la sentencia dictada por la Sala Segunda en el recurso de amparo núm. 2024-2022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formulamos el presente voto particular al considerar necesario exponer nuestra discrepancia con parte determinante de la argumentación de la sentencia que sustenta el fallo y consiguientemente con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Debemos indicar que el razonamiento de la sentencia vulnera el derecho a la presunción de inocencia de don J.V.O. [arts. 24.2 CE y 6.2 del Convenio europeo de derechos humanos (CEDH) como ha establecido la STEDH de 12 de julio de 2013, asunto Allen c. Reino Unido]. En tal sentido, la argumentación de la sentencia: a) desconoce las consecuencias que se derivan de la existencia de la sentencia absolutoria en relación con don J.V.O., dictada por el Juzgado de lo Penal núm. 1 de Vitoria y que fue confirmada por la Sección de lo Penal de la Audiencia Provincial de Vitoria; b) modifica la acrisolada doctrina constitucional sobre la prueba elevando a la categoría de indicio la denuncia y el atestado, así como la “certificación” expedida por el Ministerio Fiscal; y c) todo ello, tras contravenir la prohibición constitucional de la reconstrucción de la demanda de amparo, al incorporar como fundamento de la misma el derecho a la igualdad y no discriminación que no fue invocado por la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la argumentación de la sentencia contradice el asentado principio civil de ejercicio conjunto de la patria potestad en lo que —entre otros aspectos— se refiere a la determinación del domicilio del hijo común que es desplazado por el derecho a la libre fijación de residencia de la madre (art. 19 CE) aunque ello suponga el sacrificio del interés del niño, en cuanto a su derecho “a mantener de forma periódica relaciones personales y contactos directos con su padre y con su madre, salvo si ello es contrario a sus intereses” [art. 24 de la Carta de los derechos fundamentales de la Unión Europea (CDFUE)]. Debemos adelantar que el ejercicio por el progenitor custodio del derecho a la libre elección de la residencia (art. 19 CE) no comprende la facultad de decidir unilateralmente el domicilio de los hijos comunes.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tercer lugar, realiza una referencia innecesaria y fragmentada de la STC 106/2022, de 13 de octubre, que tiene más que ver con el voto conjunto —“concurrente/particular”—, en el que los firmantes consideraban que “[l]a sentencia aprobada por la mayoría entiende que hay una interpretación constitucional de la norma impugnada y que solo esa interpretación permite salvar la constitucionalidad de la norma”, que con la sentencia aprobada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Finalmente, debemos indicar que la resolución impugnada, junto con el resto de las resoluciones que por la resistencia de la demandante debieron dictarse en el marco de su ejecución, lejos de vulnerar derechos fundamentales de la recurrente, restablecieron el derecho a la vida familiar de don J.V.O., truncado por la decisión unilateral e injustificada de la demandante. De este modo garantizaron el cumplimiento de las obligaciones positivas derivas del art. 8 CEDH y dieron satisfacción al interés superior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se desarrollarán cada uno de los apartados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Vulneración del derecho a la presunción de inocencia de don J.V.O. (arts. 24.2 CE y 6.2 CEDH y STEDH de 12 de julio de 2013, asunto Allen c. Reino Unido)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discrepamos vulnera el derecho a la presunción de inocencia de don J.V.O., quien fue absuelto, hace casi un año, de los hechos a los que hace referencia la sentencia aprobada por la mayoría. En efecto, la sentencia 141/2024, de 23 de abril, dictada por el Juzgado de lo Penal núm. 1 de Vitoria y confirmada por la sentencia de la Audiencia Provincial de Álava 177/2024, de 26 de septiembre, dictada en el rollo de apelación 358-2024, absolvió al padre del menor de los hechos denunciados.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Juzgado de lo Penal núm. 1 de Vitoria, que obra en las actuaciones y respecto de la cual ha sido infructuoso todo intento de que se incluyera una referencia a la misma en los antecedentes, examina de manera exhaustiva la prueba practicada en relación con los hechos denunciados, acontecidos el día 1 de noviembre de 2020. La claridad y contundencia de la argumentación obligan a la reproducción literal de una parte de la misma, aunque ello suponga sacrificar la siempre agradecida concisión: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ha resultado acreditado que la denunciante, deseaba fijar su residencia en La Coruña, donde vivían sus padres, y trasladarse allí con el menor, posibilidad que no contemplaba el acusado, que trabajaba como bombero en Nanclares de 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son pocas las ocasiones en supuestos de violencia de género o doméstica, en los [que] late la sospecha de motivaciones espurias en la denuncia, derivadas fundamentalmente de discrepancias surgidas [entre] los padres en torno a la custodia y régimen de visitas de los hijos menores, en este caso la duda ha dado paso a la certeza, y es [que] por más [que] hubiera podido acreditarse que los hechos denunciados fueron ciertos, lo que por otro lado no se ha logrado, de lo [que] no cabe duda es [de ]que la denunciante y acolitas, presionaron al acusado desde el inicio para que aceptar[a] las condiciones de un divorcio, que incluían la custodia exclusiva del menor para la madre, haciéndole saber al acusado que caso contrario se expondría a una denuncia por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tras no ceder al chantaje, la denuncia se llevó a efecto, interponiéndose la misma el día 16 de noviembre de 2020, ante la Policía Nacional de A Coruña.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duda de que los hechos hubieran llegado al conocimiento de los juzgados, pues como sabemos, la denunciante fue asistida de urgencia en el hospital de San José, donde la afirmada víctima relató al sanitario un episodio de violencia de género. Ahora bien, vista la nimiedad y lo inespecífico de las lesiones descritas en aquel informe médico, si llegado el caso la denunciante hubiera hecho uso de su dispensa a declarar o hubiera referido la existencia de una discusión (único extremo acreditado), se hubiera procedido al archivo de las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Oliva siguió maniobrando en contra del acusado, engordando artificialmente la denuncia, basta para ello con dar lectura al disparatado escrito [de] su acusación (folio 332), donde trascendiendo de los límites del auto de procedimiento abreviado y en contra de la decisión de la Audiencia Provincial de Álava de fecha 20 de junio de 2022, (folio 320), solicita la condena del acusado nada más y nada menos que [por] tres delitos de malos tratos en el ámbito familiar, un delito contra la integridad moral penal agravado por producirse en domicilio familiar y en presencia de menor, un delito de amenazas grave y coacción grave, un delito continuado de coacciones agravado en domicilio familiar, un delito leve de vejaciones injustas.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los manejos de la acusación particular no se detienen en esta ampliación de la denuncia, también trató por todos los medios esta que la competencia para el conocimiento de los hechos se queden [en] los juzgados de La Coruña a fin de consolidar la situación de hecho que había impuesto a su todavía marido, logrando de facto lo que pretendía, trasladar su domicilio a esta localidad junto con su hijo. A tal fin, se solicitó orden de protección ante los juzgados de A Coruña, tras comprobar que aquellos inhibían su competencia a los juzgados de Vitoria, orden que se denegó (folios 354 y siguientes), [refiriéndose] aquella resolución, tanto al carácter instrumental de la petición de medidas cautelares como a la concurrencia de circunstancias que permiten apreciar motivos espurios en la denuncia y declaración de la denunciante.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esta denuncia se interpusieron otras frente al acusado que fueron sobreseídas por delitos de apropiación indebida y contra el honor (folios 371 y siguientes), denuncias que dicho sea de paso y tal y como puso de manifiesto en el acto del juicio el acusado le ocasionaron un serio quebranto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denunciante, en este caso no solo no materializó la denuncia anunciada al acusado, sino que hizo uso abusivo de todos los mecanismos legales a su alcance para lograr su objetivo, establecerse junto con su hijo en A Coruña, obteniendo la custodia exclusiva del menor, tal y como se desprende tanto del whatsapp (folio 136), como de la transcripción [de] grabaciones de conversaciones telefónicas, siendo que ni uno ni otras han sido impugnadas de contrario, donde la denunciante no duda ofrecer al acusado dos opciones: o cambian su residencia a La Coruña reconociendo el acusado la custodia exclusiva a la denunciante, eso sí ,con un amplio régimen de visitas a favor del padre o si se descarta esta posibilidad se iniciaría el ejercicio de acciones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por tanto evidente que existen móviles que tienen su origen en causas distintas que nada tienen que ver con el maltrato y amenazas que se denuncian, lo que exige examinar el testimonio de la víctima con máxima 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como se decía más arriba, la ausencia de uno de estos criterios no es motivo que sirva a privar, sin más, de valor el testimonio de la víctima; sin embargo, en este caso los otros requisitos deben concurrir especialmente reforzados, y lo cierto es que tampoco desde el punto de vista de la verosimilitud objetiva el testimonio de Oliva parece fiable, veamos”.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Añade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partes médicos lejos de corroborar la versión ofrecida por Oliva contribuyen a lo contrario y es que la mujer describe una paliza en toda regla que no se compadece con las lesiones de mínima entidad que objetiva el parte médico.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Nunca antes en un informe de estas características (folio 4) se había visto describir una lesión como “rubor o discreto rubor”, esto es, no alcanza ni la categoría de enrojecimiento, lo que difícilmente puede responder a los agarrones a una o dos manos en el cuello que dijo haber sufrido la denunciante y que bien podían obedecer al mero contacto con una prenda de vestir con tejido o alguna fibra ligeramente urticante. Otro tanto cabe razonar respecto del hematoma incipiente en el muslo, lesión inespecífica de data indefinida, al igual que la erosión superficial en el brazo derecho que podría haberse producido de [forma] meramente accidental, sin ir más lejos recordar que según manifestó la denunciante ese día estuvieron andando en bici por la mañana.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no aparece ninguna herida o lesión que pueda vincularse con el arrastramiento por el pelo que la denunciante dijo haber sufrido desde la cocina hasta el salón, pues no se objetiva arrancamiento de cuero cabelludo, ni tampoco existe evidencia de lesiones que pueda guardar relación con las patadas que según sostiene recibió por parte del acusado cuando estaba en el suelo”.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finalizado el proceso penal con la absolución definitiva de don J.V.O., las expresiones utilizadas y la motivación de la sentencia de la que discrepamos suponen una clara vulneración del derecho a la presunción de inocencia del denunciado ya absuelto (arts. 24.2 CE y 6.2 CEDH), cuya tutela ha dado lugar a numerosos pronunciamientos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dedica el fundamento jurídico 2 a) a lo que intitula “El deber de motivación judicial reforzada por afectación del interés superior del menor. Regímenes de guarda, custodia y visitas en contextos de violencia de género”. El título del fundamento sugiere que la guarda y custodia se resolvió en un contexto de “violencia de género”. Su contenido no desautoriza el enunciado. El lenguaje utilizado acepta la posición de la recurrente que justifica el cambio de residencia en la “condición de víctima de violencia machista”. Se reprocha al órgano judicial autor de la resolución que no evidenciara que la decisión adoptada, “suponía el deber de doña O.V.R., de ejercer la guarda y custodia de su hijo menor en la ciudad de residencia de su presunto maltratador”, término denigrante que ni tan siquiera utiliza la recurrente en la demanda de amparo —pese a que se interpuso con anterioridad a conocer la sentencia absolutoria— y que es absolutamente incompatible con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la sentencia ignora la existencia del pronunciamiento absolutorio confirmado por la Audiencia Provincial. El argumento discurre sobre la necesidad de tomar en consideración los indicios de violencia de género o “las dinámicas de sometimiento inherentes a la violencia de género” o la “obligación de prevención y protección contra la violencia de los hijos e hijas de las mujeres víctimas de violencia machista” que conforme a la sentencia del Juzgado de lo Penal no existió.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que, cuando aplica la doctrina expuesta para resolver acerca de la vulneración producida, en el fundamento jurídico 3, la sentencia impone un deber de motivación al Juzgado de Violencia sobre la Mujer en tanto que “el desplazamiento inicial no consentido del menor venía justificado, según la denuncia planteada por su madre, por la preexistencia de una situación de violencia de género”. Indica además que el juzgado no podía “obviar a tales efectos los indicios de violencia de género” frente a quien en ese momento se habían abierto diligencias por motivos de violencia de género. Incluso se pronuncia sobre el fondo y señala que la decisión debía tomar en consideración la causa alegada desde el principio por doña O.V.R., como motivo de su traslado y los “indicios de violencia de género y las dinámicas inherentes a la violencia machista”, elevando erróneamente la denuncia y al atestado —como se verá— a la categoría de prueba e invirtiendo la carga de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y su terminología contradicen el derecho a la presunción de inocencia, dado que existe una sentencia absolutoria sobre don J.V.O. No cabe utilizar términos como “víctima”, “revictimización” —atribuido al auto impugnado—, “maltratador” o “existencia de indicios de violencia de género”, cuando sobre los hechos denunciados ha recaído una sentencia absolutoria.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haciendo uso de las expresiones contenidas en la STEDH de 13 de julio de 2010, asunto Tendam c. España, § 38, por la motivación empleada o por el lenguaje utilizado en sus razonamientos, la sentencia de la que discrepamos cuestiona la inocencia de don J.V.O., lo que conforme a la STEDH de 16 de febrero de 2016, asunto Vlieeland Boddy y Marcelo Lanni c. España, supone un menospreció a la presunción de inocencia, como se desprende de los parágrafos 39 y 40, que señalan: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 […] no puede admitirse que se siembren sospechas sobre la inocencia de un acusado tras una absolución que haya adquirido carácter de firmeza (Sekanina, anteriormente citada, § 30). Una vez que la absolución es firme —aunque se trate de una absolución con el beneficio de la duda— conforme al artículo 6 § 2 del Convenio, la siembra de dudas sobre la culpabilidad, incluidas aquellas respecto de las causas de la absolución, no son compatibles con la presunción de inocencia (Rushiti, anteriormente citada, § 31). En efecto, unas decisiones judiciales posteriores o unas declaraciones que emanen de autoridades públicas pueden plantear un problema desde la perspectiva del artículo 6 § 2 anteriormente citado si equivalen a una declaración de culpabilidad que ignora, deliberadamente, la absolución previa del acusado (Del Latte c. Países Bajos, núm. 44760/98, § 30, 9 de noviembre de 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 […] en el ámbito del artículo 6 § 2 del Convenio, la parte resolutiva de una sentencia absolutoria debe ser respetada por toda autoridad que se pronuncie de manera directa o incidental sobre la responsabilidad penal del interesado (Allen, anteriormente citada, § 102, Vassilios Stavropoulos c. Grecia, núm. 35522/04, § 39, 27 de septiembre de 2007).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“[e]n tal contexto, la presunción de inocencia significa que si se ha formulado una acusación penal y el proceso ha dado lugar a una absolución, la persona procesada se considera inocente según la ley y debe ser tratada como tal” (STEDH de 25 de febrero de 2025, asunto Gomes Costa c. Portugal, § 98). “‘Tras el archivo de un proceso penal, la presunción de inocencia requiere que la ausencia de condena penal de una persona se respete en cualquier otro proceso, cualquiera que este sea’ (véase Allen, citado anteriormente, § 102). Lo que también está en juego una vez finalizado el proceso penal es la reputación de la persona y la forma en que la sociedad la considera. En cierta medida, la protección otorgada en virtud del artículo 6.2 a este respecto puede solaparse con la protección otorgada por el artículo 8” (decisión del Tribunal Europeo de Derechos Humanos de 25 de junio de 2019, asunto Martínez Agirre y otros c. España, § 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lucha por la igualdad, que en su origen ha sustentado el enfoque de la perspectiva de género como instrumento de aportación de nuevas máximas de experiencia —especialmente útiles en la valoración probatoria—, no puede obviar las garantías tradicionales que han inspirado el proceso penal y en particular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 muestra del sacrificio del derecho a la presunción de inocencia es el discurso argumental que sostiene la sentencia de la que discrepamos. La sentencia, dando un paso más respecto a las previas SSTC 115/2024, de 23 de septiembre, y 145/2024, de 2 de diciembre, con las que guarda una evidente relación, eleva a la categoría de prueba indiciaria y de indicio no solo la denuncia y el atestado, sino también la “certificación” expedida por el Ministerio Fiscal —esto es, la acusación pública— o el informe de los servicios sociales del Ayuntamiento de A Coruña. En el caso de estos dos últimos documentos se argumenta que los mismos se prevén en la Ley 11/2007, de 27 de julio, gallega para la prevención y el tratamiento integral de la violencia de género [art. 5 c) y e) de la misma] como suficientes para acreditar la existencia de indicios en el ámbito de aplicación de dicha ley. Añadimos nosotros que tales documentos —“certificado de la Fiscalía Provincial” y de “los servicios sociales del ayuntamiento”— en ese ámbito se equiparan a una sentencia condenatoria [art.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ahora, conceptualmente estaba asentado y era una obviedad recordarlo, ni el atestado, ni la denuncia que al mismo se incorpora, constituyen un medio de prueba, pues se enmarcan en la antesala del proceso (art. 297 de la Ley de enjuiciamiento criminal). Los hechos con trascendencia penal que en los mismos se describen precisamente serán los que deberán ser probados en el proceso a través de los medios de prueba constitucional y legalmente admitidos. No cabe otorgar la condición de prueba —tampoco indiciaria— a las declaraciones prestadas extramuros del proceso penal (por todas, STC 31/1981, de 28 de julio, FJ 4) y menos aún considerarlas “indicios”. El atestado, respecto de las declaraciones, se erige en objeto de prueba y no en medio de prueba (STC 165/2014, de 8 de octubre, FJ 2), con las salvedades constitucionalmente reconocidas, sobre las que no nos vamos a extender (SSTC 100/1985, de 3 de octubre; 201/1989, de 30 de noviembre; 157/1995, de 6 de noviembre, o 68/2010, de 18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referidas declaraciones no constituyen hechos debidamente comprobados, por lo que ontológicamente no permiten asentar una inferencia que pueda llevarnos al conocimiento de lo acontecido. Es por ello que no pueden ser elevadas a la categoría de indicios, como erróneamente sostiene la sentencia de la que discrepamos. Y tampoco la ausencia de referencia a los mismos puede ser utilizada, como realiza la sentencia, como núcleo del reproche tanto al auto que deniega la orden de protección, dictado por el Juzgado de Violencia sobre la Mujer núm. 1 de A Coruña —que no es objeto de la demanda de amparo—, como al que resuelve las medidas provisionales coetáneas a la demanda de divorcio dictado por el mismo juzgado de Vitoria. Precisamente, ambos órganos judiciales sustentaron correctamente su resolución en la valoración de las pruebas practicadas con inmediación. Elevar la denuncia, el atestado, el informe del fiscal o de los servicios sociales a la condición de indicio de la comisión del delito de violencia de género supone invertir la carga de la prueba y soterrar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impugnado frente al que se concede el amparo descarta que el traslado del hijo de modo unilateral se encuentre justificado en la mejor salvaguarda del interés del menor por su seguridad y estabilidad en el domicilio anterior y sustenta su criterio en que no se dictó ninguna medida de protección ni respecto de la madre ni del menor. Precisamente, en las diligencias previas núm. 1044-2020, seguidas ante el Juzgado de Violencia sobre la Mujer núm. 1 de A Coruña, tras practicar como medios de prueba las declaraciones de los dos progenitores y la documental propuesta, se descartó, por auto de 1 de diciembre de 2020, la concesión de la orden de protección, al apreciar motivos espurios en la denuncia y declaración de la denunciante. A idéntica conclusión llegó la sentencia del Juzgado de lo Penal núm. 1 de Vitoria que absolvió a don J.V.O., tres años y cuatro meses después.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Incumplimiento de la doctrina constitucional que prohíbe la reconstrucción de las demandas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alega la lesión del derecho de acceso a la jurisdicción (art. 24.1 CE) en la vertiente de falta de una motivación reforzada en un asunto en el que se encontraba concernido el interés superior del menor y el art. 19 CE por la limitación del derecho a la libertad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siguiendo la senda de las ya citadas SSTC 115/2024 y 145/2024, entiende, como se ha expuesto, que los órganos judiciales no habrían tenido en cuenta y otorgado consideración preferente al entorno de violencia sufrida por uno de los progenitores y causada por el otro y que afecta al hijo en común. Violencia —sufrida y causada— que la sentencia viene a configurar como una realidad apriorística nacida de la mera denuncia de la madre y que se enfrenta al contenido de todas las resoluciones judiciales que se han dictado en los diversos procedimientos civiles y penales seguidos.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poder asentar el discurso la sentencia tiene que reconstruir la demanda y aplicar el canon sobre motivación reforzada y valoración prevalente de lo que considera un contexto de violencia de género perjudicial para el interés del menor. De este modo modifica el problema constitucional que se plantea por la recurrente, pues, conforme a la queja que se formulaba, la decisión de la Sala debería haberse centrado en determinar si las resoluciones judiciales recurridas han vulnerado el derecho a la tutela judicial efectiva de la demandante de amparo en la vertiente del derecho a una motivación reforzada de la decisión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entiende necesaria la motivación reforzada por dos razones, ninguna de las cuales es el supuesto contexto de violencia de género, que es determinante del otorgamiento del amparo. Tal como la mera lectura de la demanda pone de manifiesto, esa motivación reforzada se entiende necesaria (y su falta vulneradora del art. 24.1 CE) por cuanto se trata de una resolución judicial que afecta a: (i) el interés superior del menor y (ii) al art. 19 CE en relación con la limitación del derecho a elegir el lugar de residencia, sin que, en la formulación de tales quejas, aparezca el contexto de violencia determinante de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reformula la queja al afirmar, en su fundamento jurídico 2 a), que “el auto objeto del recurso de amparo que ahora resolvemos afecta al derecho a la igualdad y a la prohibición de discriminación por razón de sexo desde el momento en que la razón que arguye la recurrente como motivo del cambio de residencia junto con su hijo menor es su condición de víctima de violencia machista”.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así la cuestión desde la perspectiva del no alegado derecho fundamental a la no discriminación por razón de sexo del art. 14 CE, que se plantea en un contexto que considera vinculado a delitos relacionados con la violencia de género, y de este modo resucitar el canon ad hoc que será aplicado en el proceso, basado en la exigencia de motivación reforzada en contextos de violencia de género y que lleva directamente a estimar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Excepción al ejercicio conjunto de la patria potestad y a la exigencia de autorización judicial en caso de desacuerdo (art. 19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Antes de entrar a cuestionar la argumentación que contiene la sentencia en relación con el derecho del progenitor a fijar su residencia en el territorio nacional, es preciso referirnos al contenido de los autos impugnados y a las resoluciones que se dictaron en el marco de la ejecución del mismo que, a diferencia del procedimiento penal, no han sido recabados del Juzgado de Violencia sobre la Mujer núm. 1 de Vitoria, y de los que resulta que la fijación de la residencia en Vitoria fue debatida y resuelta finalmente por la Audiencia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auto núm. 81/2021, de 30 de julio, dictado por el Juzgado de Violencia sobre la Mujer núm. 1 de Vitoria en el marco de las medidas coetáneas al procedimiento de divorcio, que es, junto con el de 17 de diciembre de 2021 que desestima la petición de nulidad, objeto de impugnación, estimó parcialmente la demanda interpuesta por don J.V.O., y atribuyó, como consta en los antecedentes de la sentencia de la que discrepamos, la guarda y custodia del menor a la madre “que deberá ejercerse en la ciudad de Vitoria-Gasteiz”.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Razona el auto que ambos padres tienen capacidad de decisión sobre el hijo común, pero que dicha capacidad “no les da derecho a impedir que el otro le vea”. Indica que la madre se marchó de Vitoria-Gasteiz a La Coruña el 5 de noviembre de 2020, llevándose al menor, y desde entonces el padre no ha tenido contacto con el menor. Justifica que la custodia se ejerza en Vitoria-Gasteiz “donde tendrá que residir el menor, ya que en el presente caso se ha realizado un traslado del hijo de modo unilateral sin que se haya justificado dicho traslado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marcharse unilateralmente de la ciudad ha supuesto apartar a este menor de su entorno conocido y familiar, lejos del ambiente donde se ha criado el menor, ya que el niño ha nacido y residido en Vitoria-Gasteiz hasta el momento que la madre se lo llevó a La Coruña, estando escolarizado en esta ciudad, cambiando la residencia del menor, sin autorización judicial ni el consentimiento del padre, pudiendo haber cambiado, por las mismas razones alegadas, de domicilio en esta misma ciudad.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Constitución Española, en su artículo 19, determina el derecho de los españoles a elegir libremente su residencia, y a salir de España en los términos que la ley establezca. Pero el problema no es este, el problema se suscita sobre la procedencia o improcedencia de llevar al menor a residir en otro lugar, lo que puede comportar un cambio radical tanto de su entorno social como parental; uno de los progenitores, con ejercicio conjunto de la patria potestad sobre los hijos, no tiene la facultad de decidir un traslado de residencia del menor que aparte al mismo de su entorno habitual, por corresponder tal facultad a ambos progenitores, necesitando para ello el progenitor del previo consentimiento del otro o, en su defecto, de la supletoria autorización judicial, la decisión de cambiar la residencia de su hijo afecta a la patria potestad, que es compartida con don Jorge, por lo que no tiene derecho a acordar unilateralmente el cambio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uno de los progenitores quiera marcharse a residir a otra ciudad no arrastra con ello el derecho a llevarse a los hijos comunes consigo.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atribución de la vivienda familiar, una vez que el menor se encuentre en Vitoria-Gasteiz, se hace a favor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que desestima el incidente de nulidad señala que la resolución se encuentra motivada sobre “la base del interés superior del menor y en aras a garantizar el contacto entre padre e hijo”. Sin embargo, este argumento, pese a su importancia, no se recoge en el antecedente 2 o) de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Debe destacarse que don J.V.O., ante la falta de cumplimiento del auto impugnado, instó la ejecución del mismo, dando lugar a un incidente de ejecución en el que se desestimó la oposición de la demandante de amparo por auto de 1 de septiembre de 2022, confirmado —al desestimar el recurso de apelación— por el auto 36/2023, de 25 de abril, de la Sección Primera de la Audiencia Provincial de Álava, que si bien no ha sido recabado y unido a las actuaciones es accesible, al encontrarse publicado en la base de datos del Centro de documentación judicial (CENDOJ) (ECLI:ES:APVI:2023:73A). La lectura de su argumentación confirma el esfuerzo que han tenido que realizar los órganos judiciales para garantizar el contacto entre padre e hijo, que es el la razón que sustenta las resoluciones impugnadas, coherente con el cumplimiento de las obligaciones positivas del Estado derivadas del Convenio europeo de derechos humanos (art. 8 CEDH). Indica el auto, con referencia a lo acontecido con posterioridad al dictado de la resolución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progenitora admite que trasladó su domicilio a La Coruña y que el menor está escolarizado en esa ciudad, por tanto, ha incumplido la primera de las medidas del auto sobre medidas provisionales, que obliga a ejercer la guarda y custodia en Vitoria. La señora […] aporta argumentos de diversa índole para justificar su decisión, tiene otro trabajo en La Coruña, familiares que le ayudan a cuidar al menor y que residen allí, el progenitor puede ver al niño y trasladarse hasta La Coruña, etc. Además, inventa un argumento sorprendente, el auto únicamente obliga a ejercer la custodia en Vitoria-Gasteiz, por lo que el progenitor custodio puede elegir el lugar de residencia en cualquier otro sitio, es un derecho constitucional, como si fuesen cuestiones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es surrealista, debe creer que los magistrados que conformamos la Sala no estamos capacitados para dictar una sentencia de divorcio y las medidas derivadas a favor de los hijos. Debe pensar que vivimos en otro mundo o que no sabemos dónde está La Coruña. El argumento quizás sea el contrario, quien no está capacitada para ejercer la guarda y custodia es la madre, circunstancia que analizaremos al conocer del divorcio en el procedimiento principal. Puede ser eso o que nos está tomando el pelo.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progenitora ha incumplido la primera de las medidas adoptadas en el auto núm. 81/2021 de 30 de julio sobre medidas provisionales, trasladó al menor hasta La Coruña y lo escolarizó en aquella ciudad de forma unilateral, sin el consentimiento del otro progenitor o, en su defecto, sin previa resolución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siguiente motivo alega que el auto de medidas provisionales otorga la guarda y custodia a la madre quien puede elegir libremente su residencia y salir de España conforme a lo establecido en el art. 19 CE, independientemente del consentimiento del otro progenitor.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argumento olvida el interés del menor, el niño nació en Vitoria, su primer colegio fue en esta misma ciudad, al trasladarlo a La Coruña la madre ha impuesto una situación de hecho artificiosa, no ha tenido en cuenta los sentimientos del niño ni la relación paterno-filial.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que trata de ejecutarse no conculca derecho alguno a la recurrente, la madre puede residir y trabajar donde desee, lo que dice es que la guarda y custodia se ejercerá en Vitoria, lo que implica que el niño debe vivir en Vitoria y, en consecuencia, también debe estar escolarizado en esta ciudad. Por tanto, cualquier decisión que modifique esta medida afecta a la patria potestad, si la madre no podía ejercer la guarda y custodia en Vitoria, debió ponerlo en conocimiento del otro progenitor e intentar llegar a un acuerdo. En su defecto, debió dirigirse al Juzgado de Violencia sobre la Mujer, el juez le habría dado una solución. El traslado a La Coruña era innecesario, la madre tenía trabajo en Vitoria y el niño era feliz en esta ciudad, con esta decisión ha condenado al menor a romper la relación con su progenitor”.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último, debemos traer a colación la sentencia 140/2024, de 16 de febrero, dictada por la Sección Primera de la Audiencia Provincial de Álava en el procedimiento principal de divorcio, que, pese a encontrarse incorporada a las actuaciones, no tiene su reflejo —al igual que la sentencia del Juzgado de lo Penal núm. 1 de Vitoria— en los antecedentes. Merece la pena detenerse en parte de sus argumentos, cuya literalidad es la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problemas de sustracciones a nivel internacional el Tribunal de Justicia de la Unión Europea ha aplicado el Reglamento de Bruselas II (asunto C-638/22 PPU, Rzecznik Praw Dziecka y otros), norma que completa el Convenio de La Haya, resolviendo que los menores deben ser restituidos en el plazo más breve posible a su lugar de residencia. En la misma línea se pronuncia el Tribunal Europeo de Derechos Humanos (sentencia de 1 de septiembre de 2022) aplicando el art. 8 del Convenio de La Haya y dando la posibilidad a un padre alemán de decidir sobre la residencia de sus hijos cuando la madre los trasladó a otro Estado. Aunque los supuestos no son idénticos, marcan la línea a seguir por los tribunales europeos, los progenitores no pueden decidir sobre los menores de forma unilateral ni pueden trasladarles de un lugar a otro sin el consentimiento del otro progenitor, esta es una cuestión que corresponde a la patria potestad, compartida por ambos, al menos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ser el tribunal el que decida, contando con las pruebas practicadas y con los informes técnicos oportunos, siempre de la forma más conveniente y ajustada a la defensa y preservación del interés del niño. La Sala no comparte en todos sus extremos la sentencia de instancia. Veamos.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Recordamos que en el auto de medidas provisionales dictado el 30 de julio de 2021 se establecía que la guarda y custodia debía ejercerse en Vitoria y el auto de esta Audiencia resolviendo la oposición a la ejecución confirma la medida, dejando claro que la guarda y custodia […] debe ejercerse en Vitoria. Le estábamos dando a la madre la oportunidad de cambiar su lugar de residencia y volver a Vitoria en beneficio del menor y también de ella misma, pudiendo ejercer en esta ciudad la guarda y custodia.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noviembre de 2020 la madre salió de la vivienda familiar y se auto-atribuyó la guarda y custodia del niño, una decisión arbitraria que adoptó sin el consentimiento del progenitor, olvidando que corresponde a quienes tienen la patria potestad del menor. El auto de medidas provisionales y el de esta Audiencia, resolviendo la oposición a la ejecución, responden a esta actitud.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recurrente afirma que cuando se llevó al niño tenía tres años, el traslado no afectó a sus estudios, a nivel académico no han existido problemas. Compartimos la reflexión, tampoco ahora se le ha causado perjuicio a nivel académico al trasladarlo a Vitoria, lo que no puede hacer la [madre] en relación al menor es adoptar decisiones tan importantes para el futuro del niño sin contar con su progenitor, que tiene la misma legitimación para decidir sobre [el menor]. El traslado de una ciudad a otra puede tener problemas o desajustes emocionales cada vez mayores conforme el niño se vaya haciendo mayor.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estos momentos no existe conflicto entre las partes, se respetan y han llegado a acuerdos en beneficio del menor sobre la forma de ejercer la custodia y las visitas y comunicaciones del niño con la madre. La [madre] ha decidido de momento mantener su residencia en A Coruña, lo que no le impide trasladarse a Vitoria para cumplir su derecho de visitas y compartir tiempo con su hijo. La parte apelada aporta varios correos cruzados en los que la [madre] reconoce que continúa residiendo en A Coruña, tiene complicado vivir en Vitoria por el trabajo y ambas partes pactan los fines de semana alternos en los que podrá visitar al menor. La madre no tiene disponibilidad para ejercer la guarda y custodia compartida por semanas alternas como dice la sentencia de instancia y lo admite”.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Frente al unánime criterio de las resoluciones referidas que aplican la regulación civil en materia del ejercicio de la patria potestad e inciden en el asentado principio de ejercicio conjunto de la misma y en la necesidad de decisión judicial en caso de discrepancia (art. 154.3 CC), la sentencia contraviene la regulación y justifica que sea exclusivamente la madre quien decida el lugar de residencia habitual de la persona menor de edad. En su fundamento jurídico 3, indica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tenido ya oportunidad de advertir en esta sentencia, en nuestro ordenamiento el cambio de residencia de los hijos y las hijas menores de padres separados o divorciados requiere del previo consentimiento de ambos progenitores o, en su defecto, de previa autorización judicial. Ahora bien, este deber legal puede resultar judicialmente flexibilizado. El interés superior del menor y los derechos de los progenitores ex art. 19 CE pueden excepcionar el deber legal de consentimiento mutuo o, en su defecto, de previa autorización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argumento es insostenible. Contraviene el asentado principio civil de ejercicio conjunto de la patria potestad en lo que —entre otros aspectos— se refiere a la determinación del lugar de residencia habitual del menor que se desplaza por el derecho a la libre fijación de residencia (art. 19 CE) y por la atribución a uno de los progenitores frente al otro —en este caso la madre— de la capacidad para determinar cuál es el interés del menor. Basta para activar dicha excepción la mera afirmación de la madre en forma de denuncia —que la sentencia eleva a indicio probatorio— por la que afirme ser víctima de un acto de violencia de género, sin necesidad de control judicial. Y ello aunque suponga el sacrificio del interés del hijo menor, en cuanto a su derecho “a mantener de forma periódica relaciones personales y contactos directos con su padre y con su madre, salvo si ello es contrario a sus intereses” (art. 24 CDFUE).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referido argumento es incompatible con los compromisos internacionales asumidos por España al legitimar el traslado de los menores por la voluntad unilateral de uno de los progenitores infringiendo la normativa estatal [Convenio sobre los aspectos civiles de la sustracción internacional de menores, hecho en La Haya el 25 de octubre de 1980, y Reglamento (CE) núm. 2201/2003, del Consejo, de 27 de noviembre de 2003] y con el derecho a la vida familiar (art. 8 CEDH) que tiene como elemento fundamental el disfrute mutuo de la compañía de padres e hijos (SSTEDH de 21 de septiembre de 2010, asunto Mijušković c. Montenegro, y de 1 de diciembre de 2009, asunto Eberhard y M c. Eslovenia). Dicho razonamiento contraviene la máxima por la que generalmente el interés superior del menor se identifica con el mantenimiento de los lazos familiares con ambos padres (STEDH de 13 de julio de 2010, asunto Fuşcă c. Rumanía, § 45).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finalizar, debemos afirmar que el derecho a elegir libremente su residencia (art. 19 CE), único derecho sustantivo invocado en la demanda, en modo alguno pudo verse concernido por los autos impugnados, pues dicho derecho no comprende entre sus facultades la de decidir unilateralmente el domicilio del hijo común que es sobre lo que versó la discrepancia entre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tercer lugar, señala el fundamento 2 a) de la sentencia de la mayoría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 todo ello debemos añadir que en nuestra STC 106/2022, de 13 de septiembre, en la que declaramos constitucional la modificación del también referido art. 94 CC operada por la Ley 8/2021, de 2 de junio, que prescribió la suspensión (o, en su caso, el no establecimiento) del régimen de estancias, visitas y/o comunicación respecto del progenitor incurso en un proceso penal iniciado por violencia, ya advertimos (FJ 4) que la autoridad judicial competente habrá de valorar si de las declaraciones de las partes y de las pruebas practicadas puede concluirse “la existencia de indicios fundados de violencia doméstica o de género, en la que se comprende también ‘la violencia que con el objetivo de causar perjuicio o daño a las mujeres se ejerza sobre sus familiares o allegados menores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referencia a la STC 106/2022 es fragmentada. Tiene más que ver con el voto conjunto —“concurrente/particular”—, en el que los firmantes afirmaban que “[l]a sentencia aprobada por la mayoría entiende que hay una interpretación constitucional de la norma impugnada y que solo esa interpretación permite salvar la constitucionalidad de la norma”, que con la sentencia tal y como fue aprobada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STC 106/2022 eludía cualquier automatismo en la interpretación y aplicación del art. 94 CC y de este modo salvó su inconstitucionalidad, pese a la discrepancia de quienes formularon el voto particular. Contrariamente a lo que se deja entender en la sentencia de la que discrepamos, la STC 106/2022 no prescribió la suspensión (o, en su caso, el no establecimiento) del régimen de estancias, visitas y/o comunicación respecto del progenitor incurso en un proceso penal iniciado por violencia por la mera existencia de indicios fundados de violencia doméstica o de género, sino que para valorar la afectación al interés del menor debía ponderarse la gravedad, naturaleza y alcance que el delito investigado tenga sobre la relación paterno o materno filial, su carácter doloso o imprudente, la persona o personas directamente afectadas por el mismo o las concretas circunstancias del caso. En tal sentido, se indicó literalmente, con referencia al art. 94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precepto no priva de modo automático al progenitor del régimen de visitas o estancias como afirman los recurrentes, sino que atribuye a la autoridad judicial la decisión sobre el establecimiento o no de un régimen de visitas o estancias o la suspensión del mismo, incluso en los supuestos en los que un progenitor esté incurso en un proceso penal iniciado por atentar contra la vida, la integridad física, la libertad, la integridad moral o la libertad e indemnidad sexual del otro cónyuge o sus hijos o cuando la autoridad judicial advierta, de las alegaciones de las partes y las pruebas practicadas, la existencia de indicios fundados de violencia doméstica o de género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resulta claramente si en la lectura del párrafo cuarto no se omite su inciso tercero, que atribuye en todo caso la decisión relativa al establecimiento o no de un régimen de visitas, comunicación y estancias a la autoridad judicial, que deberá motivarla en atención al interés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en alguno de los supuestos referidos en los dos primeros incisos del párrafo cuarto, será la valoración de la gravedad, naturaleza y alcance que el delito investigado tenga sobre la relación paterno o materno filial, su carácter doloso o imprudente, la persona o personas directamente afectadas por el mismo, o las concretas circunstancias del caso, las que normalmente revelarán si el interés del menor impone que se suspendan de modo absoluto, o se restrinjan o no, las relaciones del menor con alguno de los progenitores o con ambos.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decisión, frente a lo que afirman los recurrentes, se atribuye por el párrafo cuarto del art. 94 CC exclusivamente a la autoridad judicial en los casos en que así lo estime necesario o conveniente en resolución motivada en el interés superior del menor podrá optar por no privar al progenitor del régimen de visitas y estancias, o adoptar medidas ‘menos radicales’ (STEDH de 23 de junio de 2020, asunto Omorefe c. España, § 59) restringiendo y limitando el derecho, si con ello logra conjurar los riesgos que sobre el menor se ciernen y satisface la continuidad de la relación paternofilial.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puede concluirse que el párrafo cuarto del art. 94 CC, carece del automatismo que predican los recurrentes y no predetermina legalmente la privación del régimen de visita o estancia a ninguno de los progenitores. Es la autoridad judicial la que tomará la decisión de suspender, de restringir o no el régimen de visitas y estancias, y lo deberá hacer guiada por la finalidad de velar por el interés del menor (art. 39 CE). A tal fin, el precepto impugnado no limita la posibilidad de que el órgano judicial valore la gravedad, naturaleza y alcance del delito que se atribuye a un progenitor o a ambos, ni su incidencia en la relación paterno o materno filial, su carácter doloso o imprudente, la persona o personas directamente afectadas por el mismo, así como las concretas circunstancias del caso. De este modo, a diferencia de lo que afirman los recurrentes, el precepto impugnado faculta a la autoridad judicial para que pondere entre otras las consecuencias irremediables que el trascurso del tiempo de duración de la instrucción puede tener para las relaciones entre el niño y los progenitores que no viven con él (por todas, STEDH Saleck Bardi c. España, § 52), el carácter provisional de la condición de investigado en un proceso penal, así como su deber de adoptar medidas eficientes y razonables para proteger a los niños de actos de violencia o de atentados contra su integridad personal. Dichas medidas, desde luego, pueden ocasionar la pérdida de los derechos dimanantes de la patria potestad si el interés superior del menor, que puede incluir la seguridad de la víctima, no se puede garantizar de ninguna otra forma (art. 45 del Convenio del Consejo de Europa sobre prevención y lucha contra la violencia contra las mujeres y la violencia doméstica, hecho en Estambul el 11 de mayo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expuesto, debe descartarse la inconstitucionalidad del párrafo cuarto del art. 94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la referida cita del art. 94 CC era innecesaria. Dicho precepto no se aplicó ni era aplicable para resolver la cuestión, pues debía aplicarse la legislación autonómica; en concreto, la Ley del Parlamento Vasco 7/2015, de 30 de junio, de relaciones familiares en supuestos de separación o ruptura de los progenitores, de conformidad con el art. 2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último, debemos indicar que la demanda de amparo debió ser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impugnadas, lejos de vulnerar derechos fundamentales de la recurrente, restablecieron el derecho a la vida familiar de don J.V.O., y dieron eficaz cumplimiento a “la obligación del Estado de adoptar medidas positivas” para preservar “el derecho a la vida familiar” garantizado en el art. 8 CEDH y que comprenden “el derecho de un padre a que se adopten medidas con miras a reunirse con su hijo y la obligación de las autoridades nacionales de facilitar dicha reunión, en la medida en que el interés del niño dicte que se debe hacer todo lo posible para preservar las relaciones personales y, si es apropiado, ‘reconstruir’ la familia” (STEDH de 13 de febrero de 2025, asunto L.D. c. Polonia, § 115).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la decisión del auto núm. 81/2021, de 30 de julio, del Juzgado de Violencia sobre la Mujer núm. 1 de Vitoria-Gasteiz, al fijar el domicilio del menor en Vitoria, posibilitó finalmente, tras sortear los diversos incidentes de oposición, aclaración, y nulidad, la resistencia de la madre a cumplir con el pronunciamiento de la resolución judicial y garantizó la reanudación de la relación del padre con su hijo, que había sido truncada como consecuencia del abrupto cambio de domicilio del menor impuesto por la demandante de amparo de modo unilateral y al margen de cualquier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fue el principal objetivo de la resolución impugnada, como resulta de su argumentación, evitando que el paso del tiempo pudiera tener consecuencias irreparables en la relación entre el hijo y el padre que no vive con él (SSTEDH de 21 de septiembre de 2010, asunto Mijušković c. Montenegro, y de 22 de diciembre de 2009, asunto Tapia Gasca y D. c. España) y evitando que las dilaciones en el restablecimiento de la situación anterior pudieran suponer una resolución de facto de la cuestión (STEDH de 17 de enero de 2012, asunto Kopf y Liberda c. Austria).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debemos también advertir que lo decidido por la mayoría de la Sala implica sustituir la inmediación de la decisión judicial por un juicio abstracto y ajeno a las circunstancias del caso concreto, en una peligrosa e impropia deriva que comporta que la sentencia de la que discrepamos realice un nuevo enjuiciamiento para así dejar sin efecto lo decidido por la jurisdicción ordinaria. Esta sustitución, además, no tiene ninguna consecuencia ni efectos para el caso, en la medida en que el pronunciamiento de la sentencia es meramente declarativo.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