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7473-2024, promovido por doña Carolina Oliveras Humanes contra la sentencia núm. 468/2023, de 25 de mayo, de la Sección Tercera de la Sala de lo Social del Tribunal Superior de Justicia de Madrid, dictada en el recurso de suplicación núm. 90-2023, y contra el auto de 2 de julio de 2024 de la Sala de lo Social del Tribunal Supremo, dictado en el recurso de casación para unificación de doctrina núm. 3522-2023. Ha sido parte el Instituto Nacional de la Seguridad Social (INSS) y la Tesorería General de la Seguridad Social (TGSS).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Carolina Oliveras Humanes, representada por la procuradora de los tribunales doña Alicia Suau Casado y asistida de la abogada doña Aida Casanova Pérez, interpuso recurso de amparo contra la sentencia y el auto que se mencionan en el encabezamiento, mediante escrito presentado en el registro electrónico de este tribunal el 7 de octubre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14 de febrero de 2022 la demandante de amparo, madre de un niño, nacido el 28 de enero de 2022, con el que forma una familia monoparental al ser la única progenitora, solicitó del INSS la prestación de nacimiento y cuidado de menor. El INSS, por resolución de 16 de febrero de 2022, recaída en el expediente núm. 28202202240592, le reconoció el derecho a la prestación de nacimiento y cuidado de menor por dieciséis semanas con efectos desde el nacimiento hasta el 19 de mayo de 2022. El 19 de febrero de 2022 solicitó del INSS que dicha prestación se le ampliase en las dieciséis semanas que legalmente habrían correspondido al otro progenitor si se hubiera tratado de una familia biparental. Ante la falta de respuesta, la recurrente presentó el 4 de abril de 2022 reclamación previa al INSS, que fue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señora Oliveras demandó al INSS y a la TGSS por vulneración de los arts. 14 y 39 CE, alegando, entre otros motivos, discriminación del menor y de las familias monoparentales y solicitó la ampliación de la prestación en dieciséis semanas. La sentencia núm. 388/2022, de 1 de diciembre, del Juzgado de lo Social núm. 18 de Madrid, dictada en el procedimiento de Seguridad Social núm. 648-2022, estimó parcialmente la demanda y le reconoció el derecho a disfrutar diez semanas adicionales de prestación por nacimiento y cuidado de menor, no siendo procedente conceder dieciséis, dado que las seis primeras semanas inmediatamente posteriores al parto, de conformidad con el art. 48.4 del texto refundido de la Ley del estatuto de los trabajadores, aprobado por el Real Decreto Legislativo 2/2015, de 23 de octubre (LET), se debían disfrutar conjuntamente por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INSS y la TGSS interpusieron recurso de suplicación y la sentencia núm. 468/2023, de 25 de mayo, de la Sección Tercera de la Sala de lo Social del Tribunal Superior de Justicia de Madrid, estimando el recurso por carecer tal acumulación de previsión legal, revocó la sentencia de instancia y absolvió a las entidades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interpuso recurso de casación para unificación de doctrina, reiterando la argumentación esgrimida ante el juzgado de lo social. La Sala de lo Social del Tribunal Supremo, mediante auto de 2 de julio de 2024, inadmitió el recurso por falta de contenido casacional al coincidir la cuestión planteada con la doctrina unificada por la sentencia núm. 169/2023, de 2 de marzo, del Pleno de la Sala de lo Social del Tribunal Supremo (ECLI:ES:TS:2023:783), que resolvió que no se podía acumular la prestación por nacimiento y cuidado de menor en las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 desestimación por silencio administrativo de la acumulación de la prestación, así como la revocación de su reconocimiento vulneró “los derechos fundamentales de la demandante de amparo a la igualdad en la ley y a la no discriminación directa por circunstancia personal y familiar e indirecta por razón de sexo (art. 14 CE en relación con el art. 39 y 9.2 CE)”. Se solicita que se reconozca la vulneración, que se anulen aquellas resoluciones y que se retrotraigan las actuaciones al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tales resoluciones incurren en: (i) discriminación directa por generar con su interpretación literal de los arts. 48.4 LET y 177 de la Ley general de la Seguridad Social (LGSS) una desigualdad entre las madres y menores nacidos en familias monoparentales y los nacidos en familias biparentales, al contar los primeros con un menor número de semanas de prestación y cuidados que los segundos; (ii) discriminación directa por circunstancias personales y familiares, al no haber salvado por vía interpretativa la omisión del legislador para evitar que se produjera ese trato discriminatorio y desconsiderado hacia la decisión de la recurrente “de constituir una [familia monoparental, que] le ha causado un incuestionable perjuicio, que extiende sus efectos a la inobservancia del interés superior de la menor”; y (iii) discriminación indirecta por razón de sexo debido a que, en la mayoría de las familias monoparentales, la progenitora única es una mujer que resulta perjudicada en comparación con las familias biparentales en cuanto a la duración de las prestaciones por nacimiento de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del Tribunal Constitucional, mediante providencia de 16 de diciembre de 2024: (i) admitió a trámite la demanda al apreciar que concurre en el recurso una especial trascendencia constitucional (art. 50.1 de la Ley Orgánica del Tribunal Constitucional) como consecuencia de que la posible vulneración del derecho fundamental que se denuncia pudiera provenir de la ley o de otra disposición de carácter general [STC 155/2009, de 25 de junio, FJ 2 c)]; y acordó dirigirse a Sala de lo Social del Tribunal Supremo, a la Sección Tercera de la Sala de lo Social del Tribunal Superior de Justicia de Madrid y al Juzgado de lo Social núm. 18 de Madrid, para que remitiesen, en plazo que no excediera de diez días, certificación o fotocopia adverada de sus respectivas actuaciones, con indicación al juzgado de que emplazase a quienes hubiesen sido parte en el procedimiento, excepto al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en representación del INSS y de la TGSS, presentó el 24 de enero de 2025 escrito de allanamiento a la demanda de amparo, alegando que la dirección del servicio jurídico de la Seguridad Social dictó la Instrucción 10/2024, de 23 de diciembre, autorizando al Servicio Jurídico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 La citada letrada reiteró su petición de allanamiento en el trámite de alegaciones mediante escrito presentado el 10 de marzo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Sección Cuarta de la Sala Segunda de este tribunal, recibidas las actuaciones, mediante diligencia de ordenación de 25 de febrero de 2025, tuvo por personada y parte a las entidades gestoras de la Seguridad Social, y acordó, conforme a lo dispuesto en el art. 52.1 de la Ley Orgánica del Tribunal Constitucional, dar vista de las actuaciones a las partes personadas y al Ministerio Fiscal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el 10 de marzo de 2025 en el que dio por reproducida la argumentación de su demanda de amparo con cita de la STC 140/2024, de 6 de noviembre, por estimar que resolvía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en su escrito presentado el 18 de marzo de 2025, interesa la estimación del recurso de amparo, por vulneración del “derecho [de] la recurrente y de su hijo menor a la igualdad y a la no discriminación por razón de nacimiento, en relación con la protección integral de los hijos, con independencia de su filiación y conforme a lo previsto en los convenios internacionales que velan por sus derechos (art. 14 CE en relación con el artículo 39 CE)”. Solicita que se declare la vulneración del derecho con anulación de las resoluciones impugnadas, declarando la firmeza de la sentencia del Juzgado de lo Social núm. 18 de Madrid, al igual que se acordó en la STC 39/2025,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doctrina aplicable al caso es la contenida en la STC 140/2024, de 6 de noviembre, que declaró la inconstitucionalidad de los arts. 48.4 LET y 177 LGSS, “precisamente por la vulneración del derecho establecido en el art. 14 CE en relación con el art. 39 CE que se alegaba en el presente recurso, y ha establecido una interpretación provisional, acorde con la Constitución, de la normativa sobre suspensión del contrato de trabajo allí establecida y de la prestación de la Seguridad Social anudada a la misma, mientras el legislador no reforme dichos artículos,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doctrina —continúa— ha sido aplicada en las SSTC 147/2024, 149/2024, 150/2024 y 151/2024, de 2 de diciembre, 4/2025, 5/2025, 6/2025, 8/2025, 9/2025 y 10/2025, de 13 de enero, y 17 a 24/2025, de 27 de enero, en las que “se acuerda el otorgamiento del amparo por considerar que la aplicación de la normativa declarada inconstitucional ha vulnerado el derecho fundamental a la igualdad ante la ley sin discriminación por razón de nacimiento (art. 14 CE) de los hijos menores nacidos en el seno de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abril de 2025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 la Sección Tercera de la Sala de lo Social del Tribunal Superior de Justicia de Madrid, que revocó la sentencia de instancia, que había reconocido la ampliación en diez semanas de la prestación de nacimiento y cuidado de hijo menor en familia monoparental, y el auto de la Sala de lo Social del Tribunal Supremo, que inadmitió el recurso de casación para unificación de doctrina, han ocasionado a la demandante una discriminación por razón de nacimiento, contraria al art. 14 CE, en relación con el art. 39 CE, al aplicar el art. 48.4 LET, en relación con el art. 177 LGSS, en la redacción dada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los efectos que se indican en el párrafo siguiente, pues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las SSTC 29/2025 y 39/2025, de 10 de febrero, y 58/2025, de 10 de marzo (recurso de amparo núm. 1991-2024), la estimación del recurso conlleva la declaración de nulidad de las resoluciones judiciales impugnadas, con declaración de firmeza de la sentencia del Juzgado de lo Social núm. 18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Carolina Oliveras Humanes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núm. 468/2023, de 25 de mayo, de la Sección Tercera de la Sala de lo Social del Tribunal Superior de Justicia de Madrid, dictada en el recurso de suplicación núm. 90-2023, y del auto de 2 de julio de 2024 de la Sala de lo Social del Tribunal Supremo, dictado en el recurso de casación para unificación de doctrina núm. 3522-2023.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388/2022, de 1 de diciembre, del Juzgado de lo Social núm. 18 de Madrid, dictada en el procedimiento de Seguridad Social núm. 648-2022.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