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7745-2024, promovido por doña Mercedes Serna Marquina contra las resoluciones de la dirección provincial de Barcelona del Instituto Nacional de la Seguridad Social (INSS) de 23 de noviembre y 3 de diciembre de 2021, sobre prestación por nacimiento y cuidado de hijo como madre biológica de familia monoparental (expediente núm. 08-2021-106396-44); y la sentencia de la Sala de lo Social del Tribunal Supremo núm. 1080/2024, de 11 de septiembre (recurso de casación para la unificación de doctrina núm. 2463-2023). Ha comparecido la letrada de la administración de la Seguridad Social, en nombre del INSS y la Tesorería General de la Seguridad Social (TGSS).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15 de octubre de 2024, la procuradora de los tribunales doña María Isabel Torres Ruiz, en nombre y representación de doña Mercedes Serna Marquina, bajo la dirección letrada de doña Olga Georgina Marquina Pompido, interpuso recurso de amparo contra las decisiones administrativa y judicial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fue madre de un niño el 21 de octubre de 2021 con el que forma una familia monoparental. Mediante resolución de la dirección provincial de Barcelona del INSS de 22 de noviembre de 2021, pronunciada en el expediente núm. 08-2021-106396-44, obtuvo la prestación por nacimiento y cuidado de su hijo menor durante dieciséis semanas [art. 177 del texto refundido de la Ley general de la Seguridad Social (LGSS)]. La demandante formuló solicitud de revisión de prestaciones solicitando su ampliación por dieciséis semanas adicionales, que es el plazo que hubiera correspondido al segundo progenitor en el supuesto de una familia biparental; siendo desestimada por resolución de 23 de noviembre de 2021 y confirmada por resolución de 3 de diciembre de 2021, al desestimarse la reclamación previa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formuló demanda ante el Juzgado de lo Social núm. 12 de Barcelona, dando lugar al procedimiento núm. 17-2022, invocando, entre otros motivos, la vulneración del art. 14 CE; siendo estimado parcialmente por la sentencia núm. 157/2022, de 29 de marzo, en el sentido de reconocer que la actora tiene el derecho a complementar la prestación de maternidad con otras diez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y el INSS formularon recurso de suplicación ante la Sala de lo Social del Tribunal Superior de Justicia de Cataluña, que fue tramitado con el núm. 4980-2022, siendo estimado en cuanto a la impugnación de la demandante por la sentencia núm. 1149/2023, de 20 de febrero, que reconoció que la ampliación de la prestación lo era en dieciséis semanas adicionales, por lo que quedaba por reconocerle y disfrutar de seis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INSS formuló recurso de casación para la unificación de doctrina ante la Sala de lo Social del Tribunal Supremo, que fue tramitado con el núm. 2463-2023; siendo estimado por sentencia núm. 1080/2024, de 11 de septiembre, reiterando lo ya establecido en la sentencia de esa Sala núm. 169/2023, de 2 de marzo, recaída en el recurso para la unificación de doctrina núm. 3972-2020 (ECLI:ES:TS:2023:783), en el sentido de que la normativa de aplicación no resulta discriminatoria. Como consecuencia se revocaron las sentencias del Juzgado de lo Social y del Tribunal Superior de Justicia y se confirmó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con invocación del art. 14 CE, recurre en amparo la decisión administrativa de denegar la ampliación de la prestación por nacimiento y cuidado de hijo menor, como madre biológica de familia monoparental, y la confirmación judicial de esa decisión en la sentencia de casación, solicitando la nulidad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14 CE en que las decisiones impugnadas han generado un trato desigualitario entre madres y menores integrantes de familias monoparentales y de los integrantes de familias biparentales así como una discriminación directa por circunstancias personales y familiares, pues, en contravención con la jurisprudencia constitucional en la materia, no se establece una justificación objetiva y razonable para la diferencia de trato en cuanto al tiempo de cuidado de los menores por parte de sus progenitores en los casos de familias monoparentales, más reducido, y biparentales, más amplio. También se alega la existencia de una discriminación directa e indirecta por razón de sexo, en tanto que las familias monoparentales están compuestas de manera mayoritaria por mujeres progenitoras.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el recurso tiene especial trascendencia constitucional, de conformidad con lo establecido en la STC 155/2009, de 25 de junio, FJ 2, entre otras razones, porque la vulneración alegada pudiera provenir de la ley, en concreto, de la modificación legislativa operada en el art. 48.4 de la Ley del estatuto de los trabajadores (LET) y el art. 177 LGSS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13 de enero de 2025, acordó la admisión a trámite de la demanda de amparo, apreciando que concurre una especial trascendencia constitucional, como consecuencia de que la posible vulneración del derecho fundamental que se denuncia pudiera provenir de la ley o de otra disposición de carácter general [STC 155/2009, FJ 2 c)]; y dirigir atenta comunicación a los órganos judiciales para la remisión de testimonio de las actuaciones y emplazamiento de quienes hubieran sido parte en el procedimiento,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11 de febrero de 2025, tuvo por recibido el testimonio de las actuaciones, por personada y parte a la letrada de la administración de la Seguridad Social en nombre del INSS y la TGSS; y acordó dar vista de las actuaciones a las partes personadas y al Ministerio Fiscal, por plazo común de veinte días, a fin de que, conforme con lo previsto en el art. 52 de la Ley Orgánica del Tribunal Constitucional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11 de marzo de 2025, presentó alegaciones interesando la estimación del recurso de amparo por vulneración del derecho fundamental a la igualdad ante la ley sin discriminación por razón de nacimiento (art. 14 CE), para cuyo restablecimiento insta que se declare la nulidad de la sentencia de casación con retroacción de actuaciones al momento del dictado de esa resolución para que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resumir la jurisprudencia constitucional establecida en la STC 140/2024, de 6 de noviembre, en la que se acuerda la inconstitucionalidad —sin nulidad— de los arts. 48.4 LET y 177 LGSS, hace aplicación de ella al presente recurso y considera procedente la estimación del recurso. En cuanto a los efectos de la estimación, argumenta que no resulta procedente ni la anulación de una resolución administrativa, que ya ha sido declarada judicialmente nula, ni la de la sentencia de instancia, que aplicó en términos plenamente coincidentes la doctrina de la STC 140/2024, incluyendo el número de semanas de ampliación, y de suplicación, que reconoció la vulneración del derecho, si bien reconociendo una prestación superior a la fijada en la STC 140/2024, pero cuya nulidad no ha sido instada por la demandante. A partir de ello, considera que solo procede la nulidad de la sentencia de casación con retroacción de actuaciones para que se pronuncie otra “plenamente respetuosa con la doctrina constitucional. Lo que, en la práctica, debería implicar que, reconociendo necesariamente los derechos de la actora en los mismos términos que fija el fundamento jurídico 7 de la STC 140/2024, pueda sin embargo el Alto Tribunal, en el caso de que lo considere objeto de la pretensión casacional formulada por el INSS, pronunciarse en el ámbito de su propia jurisdicción y en el marco de la legalidad ordinaria sobre el derecho de la demandante de amparo a disfrutar del tiempo adicional de prestación que le había reconocido en su sentencia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administración de la Seguridad Social, por escrito registrado el 4 de marzo de 2025, presentó alegaciones allanándose a la demanda, poniendo de manifiesto que, a la vista de la jurisprudencia establecida en la STC 140/2024, de 6 de noviembre, y en las diversas sentencias que la aplican, la dirección general del servicio jurídico de la Seguridad Social dictó la instrucción 10/2024, de 23 de diciembre, de la que se acompaña copia, en la que se autoriza para allanarse en los recursos de amparo pendientes ante el Tribunal Constitucional que resulten afectados por lo establecido en el fundamento jurídico 7 de la STC 140/2024, que es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escrito registrado el 4 de marzo de 2025, presentó alegaciones instando la aplicación al caso de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determinar si las resoluciones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la cuestión de fondo planteada en este recurso de amparo es coincidente con la resuelta por la STC 140/2024, de 6 de noviembre, por lo que es preciso remitirse a sus fundamentos jurídicos, en los que, respectivamente, se expusieron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Como concretamos en la referida STC 140/2024, de 6 de noviembre, FJ 7, y hemos declarado en anteriores sentencias de amparo que hacen aplicación de ella,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ha de conllevar la declaración de nulidad de la sentencia de la Sala de lo Social del Tribunal Supremo núm. 1080/2024, de 11 de septiembre, pronunciada en el recurso de casación para la unificación de doctrina núm. 2463-2023, en la medida en que no ha reconocido la vulneración del art. 14 CE; así como la de la sentencia de la Sala de lo Social del Tribunal Superior de Justicia del Cataluña núm. 1149/2023, de 20 de febrero, pronunciada en el recurso de suplicación núm. 4980-2022, en la medida en la que, aun habiendo reconocido dicha vulneración, lo hace con un alcance distinto al establecido en la STC 140/2024; con la declaración de firmeza de la sentencia del Juzgado de lo Social núm. 12 de Barcelona núm. 157/2022, de 29 de marzo, pronunciada en el procedimiento núm. 17-2022, que anuló la resolución administrativa, reconociendo el derecho fundamental controvertido con el concreto alcance establecido en la STC 140/2024.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Mercedes Serna Marquina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proceda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sentencia de la Sala de lo Social del Tribunal Supremo núm. 1080/2024, de 11 de septiembre, pronunciada en el recurso de casación para la unificación de doctrina núm. 2463-2023, y de la sentencia de la Sala de lo Social del Tribunal Superior de Justicia de Cataluña núm. 1149/2023, de 20 de febrero, pronunciada en el recurso de suplicación núm. 4980-2022.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del Juzgado de lo Social núm. 12 de Barcelona núm. 157/2022, de 29 de marzo, pronunciada en el procedimiento núm. 17-2022.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